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2F" w:rsidRPr="00330237" w:rsidRDefault="0020322F" w:rsidP="00A87D02">
      <w:pPr>
        <w:spacing w:line="360" w:lineRule="auto"/>
        <w:jc w:val="center"/>
        <w:rPr>
          <w:rFonts w:ascii="Calibri" w:hAnsi="Calibri"/>
          <w:b/>
          <w:sz w:val="28"/>
          <w:szCs w:val="22"/>
        </w:rPr>
      </w:pPr>
      <w:bookmarkStart w:id="0" w:name="_GoBack"/>
      <w:bookmarkEnd w:id="0"/>
      <w:r w:rsidRPr="00330237">
        <w:rPr>
          <w:rFonts w:ascii="Calibri" w:hAnsi="Calibri"/>
          <w:b/>
          <w:sz w:val="28"/>
          <w:szCs w:val="22"/>
        </w:rPr>
        <w:t>SAGA-trial</w:t>
      </w:r>
    </w:p>
    <w:p w:rsidR="004647EB" w:rsidRPr="001B0BB2" w:rsidRDefault="004647EB" w:rsidP="001B0BB2">
      <w:pPr>
        <w:spacing w:line="360" w:lineRule="auto"/>
        <w:jc w:val="center"/>
        <w:rPr>
          <w:rFonts w:ascii="Calibri" w:hAnsi="Calibri"/>
          <w:sz w:val="22"/>
          <w:szCs w:val="22"/>
        </w:rPr>
      </w:pPr>
      <w:r w:rsidRPr="00330237">
        <w:rPr>
          <w:rFonts w:ascii="Calibri" w:hAnsi="Calibri"/>
          <w:sz w:val="22"/>
          <w:szCs w:val="22"/>
        </w:rPr>
        <w:t>‘Short-course aminoglycosides as adjunctive treatment in adults with sepsis’</w:t>
      </w:r>
    </w:p>
    <w:p w:rsidR="00944C4B" w:rsidRPr="00944C4B" w:rsidRDefault="00944C4B" w:rsidP="00A87D02">
      <w:pPr>
        <w:spacing w:line="360" w:lineRule="auto"/>
        <w:rPr>
          <w:rFonts w:ascii="Calibri" w:hAnsi="Calibri" w:cs="Arial"/>
          <w:sz w:val="22"/>
          <w:szCs w:val="22"/>
          <w:lang w:val="nl-NL"/>
        </w:rPr>
      </w:pPr>
      <w:r w:rsidRPr="00944C4B">
        <w:rPr>
          <w:rFonts w:ascii="Calibri" w:hAnsi="Calibri" w:cs="Arial"/>
          <w:sz w:val="22"/>
          <w:szCs w:val="22"/>
          <w:lang w:val="nl-NL"/>
        </w:rPr>
        <w:t xml:space="preserve">Agenda: </w:t>
      </w:r>
    </w:p>
    <w:p w:rsidR="00944C4B" w:rsidRDefault="00944C4B" w:rsidP="00944C4B">
      <w:pPr>
        <w:pStyle w:val="Lijstalinea"/>
        <w:numPr>
          <w:ilvl w:val="0"/>
          <w:numId w:val="10"/>
        </w:numPr>
        <w:spacing w:line="360" w:lineRule="auto"/>
        <w:rPr>
          <w:rFonts w:ascii="Calibri" w:hAnsi="Calibri" w:cs="Arial"/>
          <w:sz w:val="22"/>
          <w:szCs w:val="22"/>
          <w:lang w:val="nl-NL"/>
        </w:rPr>
      </w:pPr>
      <w:r w:rsidRPr="00944C4B">
        <w:rPr>
          <w:rFonts w:ascii="Calibri" w:hAnsi="Calibri" w:cs="Arial"/>
          <w:sz w:val="22"/>
          <w:szCs w:val="22"/>
          <w:lang w:val="nl-NL"/>
        </w:rPr>
        <w:t xml:space="preserve">Rationale </w:t>
      </w:r>
    </w:p>
    <w:p w:rsidR="00944C4B" w:rsidRDefault="00944C4B" w:rsidP="00944C4B">
      <w:pPr>
        <w:pStyle w:val="Lijstalinea"/>
        <w:numPr>
          <w:ilvl w:val="0"/>
          <w:numId w:val="10"/>
        </w:numPr>
        <w:spacing w:line="360" w:lineRule="auto"/>
        <w:rPr>
          <w:rFonts w:ascii="Calibri" w:hAnsi="Calibri" w:cs="Arial"/>
          <w:sz w:val="22"/>
          <w:szCs w:val="22"/>
          <w:lang w:val="nl-NL"/>
        </w:rPr>
      </w:pPr>
      <w:r>
        <w:rPr>
          <w:rFonts w:ascii="Calibri" w:hAnsi="Calibri" w:cs="Arial"/>
          <w:sz w:val="22"/>
          <w:szCs w:val="22"/>
          <w:lang w:val="nl-NL"/>
        </w:rPr>
        <w:t>Doel studie</w:t>
      </w:r>
    </w:p>
    <w:p w:rsidR="00944C4B" w:rsidRDefault="00944C4B" w:rsidP="00944C4B">
      <w:pPr>
        <w:pStyle w:val="Lijstalinea"/>
        <w:numPr>
          <w:ilvl w:val="0"/>
          <w:numId w:val="10"/>
        </w:numPr>
        <w:spacing w:line="360" w:lineRule="auto"/>
        <w:rPr>
          <w:rFonts w:ascii="Calibri" w:hAnsi="Calibri" w:cs="Arial"/>
          <w:sz w:val="22"/>
          <w:szCs w:val="22"/>
          <w:lang w:val="nl-NL"/>
        </w:rPr>
      </w:pPr>
      <w:r>
        <w:rPr>
          <w:rFonts w:ascii="Calibri" w:hAnsi="Calibri" w:cs="Arial"/>
          <w:sz w:val="22"/>
          <w:szCs w:val="22"/>
          <w:lang w:val="nl-NL"/>
        </w:rPr>
        <w:t>Studie design</w:t>
      </w:r>
    </w:p>
    <w:p w:rsidR="00944C4B" w:rsidRDefault="00944C4B" w:rsidP="00944C4B">
      <w:pPr>
        <w:pStyle w:val="Lijstalinea"/>
        <w:numPr>
          <w:ilvl w:val="0"/>
          <w:numId w:val="10"/>
        </w:numPr>
        <w:spacing w:line="360" w:lineRule="auto"/>
        <w:rPr>
          <w:rFonts w:ascii="Calibri" w:hAnsi="Calibri" w:cs="Arial"/>
          <w:sz w:val="22"/>
          <w:szCs w:val="22"/>
          <w:lang w:val="nl-NL"/>
        </w:rPr>
      </w:pPr>
      <w:r>
        <w:rPr>
          <w:rFonts w:ascii="Calibri" w:hAnsi="Calibri" w:cs="Arial"/>
          <w:sz w:val="22"/>
          <w:szCs w:val="22"/>
          <w:lang w:val="nl-NL"/>
        </w:rPr>
        <w:t>Studie populatie</w:t>
      </w:r>
    </w:p>
    <w:p w:rsidR="00944C4B" w:rsidRDefault="00944C4B" w:rsidP="00944C4B">
      <w:pPr>
        <w:pStyle w:val="Lijstalinea"/>
        <w:numPr>
          <w:ilvl w:val="0"/>
          <w:numId w:val="10"/>
        </w:numPr>
        <w:spacing w:line="360" w:lineRule="auto"/>
        <w:rPr>
          <w:rFonts w:ascii="Calibri" w:hAnsi="Calibri" w:cs="Arial"/>
          <w:sz w:val="22"/>
          <w:szCs w:val="22"/>
          <w:lang w:val="nl-NL"/>
        </w:rPr>
      </w:pPr>
      <w:r>
        <w:rPr>
          <w:rFonts w:ascii="Calibri" w:hAnsi="Calibri" w:cs="Arial"/>
          <w:sz w:val="22"/>
          <w:szCs w:val="22"/>
          <w:lang w:val="nl-NL"/>
        </w:rPr>
        <w:t xml:space="preserve">Exclusiecriteria </w:t>
      </w:r>
    </w:p>
    <w:p w:rsidR="00944C4B" w:rsidRDefault="00944C4B" w:rsidP="00944C4B">
      <w:pPr>
        <w:pStyle w:val="Lijstalinea"/>
        <w:numPr>
          <w:ilvl w:val="0"/>
          <w:numId w:val="10"/>
        </w:numPr>
        <w:spacing w:line="360" w:lineRule="auto"/>
        <w:rPr>
          <w:rFonts w:ascii="Calibri" w:hAnsi="Calibri" w:cs="Arial"/>
          <w:sz w:val="22"/>
          <w:szCs w:val="22"/>
          <w:lang w:val="nl-NL"/>
        </w:rPr>
      </w:pPr>
      <w:r>
        <w:rPr>
          <w:rFonts w:ascii="Calibri" w:hAnsi="Calibri" w:cs="Arial"/>
          <w:sz w:val="22"/>
          <w:szCs w:val="22"/>
          <w:lang w:val="nl-NL"/>
        </w:rPr>
        <w:t>Eindpunten</w:t>
      </w:r>
    </w:p>
    <w:p w:rsidR="00944C4B" w:rsidRDefault="00944C4B" w:rsidP="00944C4B">
      <w:pPr>
        <w:pStyle w:val="Lijstalinea"/>
        <w:numPr>
          <w:ilvl w:val="0"/>
          <w:numId w:val="10"/>
        </w:numPr>
        <w:spacing w:line="360" w:lineRule="auto"/>
        <w:rPr>
          <w:rFonts w:ascii="Calibri" w:hAnsi="Calibri" w:cs="Arial"/>
          <w:sz w:val="22"/>
          <w:szCs w:val="22"/>
          <w:lang w:val="nl-NL"/>
        </w:rPr>
      </w:pPr>
      <w:r>
        <w:rPr>
          <w:rFonts w:ascii="Calibri" w:hAnsi="Calibri" w:cs="Arial"/>
          <w:sz w:val="22"/>
          <w:szCs w:val="22"/>
          <w:lang w:val="nl-NL"/>
        </w:rPr>
        <w:t>Interventie</w:t>
      </w:r>
    </w:p>
    <w:p w:rsidR="00944C4B" w:rsidRDefault="00944C4B" w:rsidP="00944C4B">
      <w:pPr>
        <w:pStyle w:val="Lijstalinea"/>
        <w:numPr>
          <w:ilvl w:val="0"/>
          <w:numId w:val="10"/>
        </w:numPr>
        <w:spacing w:line="360" w:lineRule="auto"/>
        <w:rPr>
          <w:rFonts w:ascii="Calibri" w:hAnsi="Calibri" w:cs="Arial"/>
          <w:sz w:val="22"/>
          <w:szCs w:val="22"/>
          <w:lang w:val="nl-NL"/>
        </w:rPr>
      </w:pPr>
      <w:r>
        <w:rPr>
          <w:rFonts w:ascii="Calibri" w:hAnsi="Calibri" w:cs="Arial"/>
          <w:sz w:val="22"/>
          <w:szCs w:val="22"/>
          <w:lang w:val="nl-NL"/>
        </w:rPr>
        <w:t xml:space="preserve">Dosering gentamycine bij obese patiënten </w:t>
      </w:r>
    </w:p>
    <w:p w:rsidR="00944C4B" w:rsidRDefault="00944C4B" w:rsidP="00944C4B">
      <w:pPr>
        <w:pStyle w:val="Lijstalinea"/>
        <w:numPr>
          <w:ilvl w:val="0"/>
          <w:numId w:val="10"/>
        </w:numPr>
        <w:spacing w:line="360" w:lineRule="auto"/>
        <w:rPr>
          <w:rFonts w:ascii="Calibri" w:hAnsi="Calibri" w:cs="Arial"/>
          <w:sz w:val="22"/>
          <w:szCs w:val="22"/>
          <w:lang w:val="nl-NL"/>
        </w:rPr>
      </w:pPr>
      <w:r>
        <w:rPr>
          <w:rFonts w:ascii="Calibri" w:hAnsi="Calibri" w:cs="Arial"/>
          <w:sz w:val="22"/>
          <w:szCs w:val="22"/>
          <w:lang w:val="nl-NL"/>
        </w:rPr>
        <w:t>Contactgegevens</w:t>
      </w:r>
    </w:p>
    <w:p w:rsidR="001B0BB2" w:rsidRPr="00944C4B" w:rsidRDefault="001B0BB2" w:rsidP="00944C4B">
      <w:pPr>
        <w:pStyle w:val="Lijstalinea"/>
        <w:numPr>
          <w:ilvl w:val="0"/>
          <w:numId w:val="10"/>
        </w:numPr>
        <w:spacing w:line="360" w:lineRule="auto"/>
        <w:rPr>
          <w:rFonts w:ascii="Calibri" w:hAnsi="Calibri" w:cs="Arial"/>
          <w:sz w:val="22"/>
          <w:szCs w:val="22"/>
          <w:lang w:val="nl-NL"/>
        </w:rPr>
      </w:pPr>
      <w:r>
        <w:rPr>
          <w:rFonts w:ascii="Calibri" w:hAnsi="Calibri" w:cs="Arial"/>
          <w:sz w:val="22"/>
          <w:szCs w:val="22"/>
          <w:lang w:val="nl-NL"/>
        </w:rPr>
        <w:t>Bronnen</w:t>
      </w:r>
    </w:p>
    <w:p w:rsidR="00944C4B" w:rsidRPr="00944C4B" w:rsidRDefault="00944C4B" w:rsidP="00A87D02">
      <w:pPr>
        <w:spacing w:line="360" w:lineRule="auto"/>
        <w:rPr>
          <w:rFonts w:ascii="Calibri" w:hAnsi="Calibri" w:cs="Arial"/>
          <w:sz w:val="22"/>
          <w:szCs w:val="22"/>
          <w:lang w:val="nl-NL"/>
        </w:rPr>
      </w:pPr>
    </w:p>
    <w:p w:rsidR="002E5119" w:rsidRPr="00330237" w:rsidRDefault="00944C4B" w:rsidP="00A87D02">
      <w:pPr>
        <w:spacing w:line="360" w:lineRule="auto"/>
        <w:rPr>
          <w:rFonts w:ascii="Calibri" w:hAnsi="Calibri"/>
          <w:sz w:val="22"/>
          <w:szCs w:val="22"/>
          <w:lang w:val="nl-NL"/>
        </w:rPr>
      </w:pPr>
      <w:r>
        <w:rPr>
          <w:rFonts w:ascii="Calibri" w:hAnsi="Calibri"/>
          <w:b/>
          <w:sz w:val="22"/>
          <w:szCs w:val="22"/>
          <w:lang w:val="nl-NL"/>
        </w:rPr>
        <w:t xml:space="preserve">1. </w:t>
      </w:r>
      <w:r w:rsidR="002E5119" w:rsidRPr="00330237">
        <w:rPr>
          <w:rFonts w:ascii="Calibri" w:hAnsi="Calibri"/>
          <w:b/>
          <w:sz w:val="22"/>
          <w:szCs w:val="22"/>
          <w:lang w:val="nl-NL"/>
        </w:rPr>
        <w:t xml:space="preserve">Rationale: </w:t>
      </w:r>
      <w:r w:rsidR="002E5119" w:rsidRPr="00330237">
        <w:rPr>
          <w:rFonts w:ascii="Calibri" w:hAnsi="Calibri"/>
          <w:sz w:val="22"/>
          <w:szCs w:val="22"/>
          <w:lang w:val="nl-NL"/>
        </w:rPr>
        <w:t>In Nederland is er een grote variatie in de empirische behandeling van sepsis, voornamelijk rondom de noodzaak v</w:t>
      </w:r>
      <w:r w:rsidR="00574960" w:rsidRPr="00330237">
        <w:rPr>
          <w:rFonts w:ascii="Calibri" w:hAnsi="Calibri"/>
          <w:sz w:val="22"/>
          <w:szCs w:val="22"/>
          <w:lang w:val="nl-NL"/>
        </w:rPr>
        <w:t>an</w:t>
      </w:r>
      <w:r w:rsidR="002E5119" w:rsidRPr="00330237">
        <w:rPr>
          <w:rFonts w:ascii="Calibri" w:hAnsi="Calibri"/>
          <w:sz w:val="22"/>
          <w:szCs w:val="22"/>
          <w:lang w:val="nl-NL"/>
        </w:rPr>
        <w:t xml:space="preserve"> het toevoegen van kortdurende aminoglycosiden bovenop cefalosporines. Echter, er is geen overtuigend bewijs dat een combinatie van cefalosporine met aminoglycoside zorgt voor een betere uitkomst. </w:t>
      </w:r>
      <w:r w:rsidR="00574960" w:rsidRPr="00330237">
        <w:rPr>
          <w:rFonts w:ascii="Calibri" w:hAnsi="Calibri"/>
          <w:sz w:val="22"/>
          <w:szCs w:val="22"/>
          <w:lang w:val="nl-NL"/>
        </w:rPr>
        <w:t xml:space="preserve">Tevens kunnen aminoglycosiden nadelige effecten hebben, zoals </w:t>
      </w:r>
      <w:proofErr w:type="spellStart"/>
      <w:r w:rsidR="00574960" w:rsidRPr="00330237">
        <w:rPr>
          <w:rFonts w:ascii="Calibri" w:hAnsi="Calibri"/>
          <w:sz w:val="22"/>
          <w:szCs w:val="22"/>
          <w:lang w:val="nl-NL"/>
        </w:rPr>
        <w:t>nefrotoxiciteit</w:t>
      </w:r>
      <w:proofErr w:type="spellEnd"/>
      <w:r w:rsidR="00574960" w:rsidRPr="00330237">
        <w:rPr>
          <w:rFonts w:ascii="Calibri" w:hAnsi="Calibri"/>
          <w:sz w:val="22"/>
          <w:szCs w:val="22"/>
          <w:lang w:val="nl-NL"/>
        </w:rPr>
        <w:t xml:space="preserve"> en </w:t>
      </w:r>
      <w:proofErr w:type="spellStart"/>
      <w:r w:rsidR="00574960" w:rsidRPr="00330237">
        <w:rPr>
          <w:rFonts w:ascii="Calibri" w:hAnsi="Calibri"/>
          <w:sz w:val="22"/>
          <w:szCs w:val="22"/>
          <w:lang w:val="nl-NL"/>
        </w:rPr>
        <w:t>ototoxiciteit</w:t>
      </w:r>
      <w:proofErr w:type="spellEnd"/>
      <w:r w:rsidR="00574960" w:rsidRPr="00330237">
        <w:rPr>
          <w:rFonts w:ascii="Calibri" w:hAnsi="Calibri"/>
          <w:sz w:val="22"/>
          <w:szCs w:val="22"/>
          <w:lang w:val="nl-NL"/>
        </w:rPr>
        <w:t xml:space="preserve">. </w:t>
      </w:r>
      <w:r w:rsidR="002E5119" w:rsidRPr="00330237">
        <w:rPr>
          <w:rFonts w:ascii="Calibri" w:hAnsi="Calibri"/>
          <w:sz w:val="22"/>
          <w:szCs w:val="22"/>
          <w:lang w:val="nl-NL"/>
        </w:rPr>
        <w:t>Voorgaande studies in patiënten met sepsis zijn uitgevoerd in kleinere populaties en keken voornamelijk naar langdurig gebruik van aminoglycosiden. Daarom is het van belang om een gerandomiseerde trial uit te voeren om het effect van het toevoegen van aminoglycosiden te bepalen. De</w:t>
      </w:r>
      <w:r w:rsidR="00574960" w:rsidRPr="00330237">
        <w:rPr>
          <w:rFonts w:ascii="Calibri" w:hAnsi="Calibri"/>
          <w:sz w:val="22"/>
          <w:szCs w:val="22"/>
          <w:lang w:val="nl-NL"/>
        </w:rPr>
        <w:t>ze</w:t>
      </w:r>
      <w:r w:rsidR="002E5119" w:rsidRPr="00330237">
        <w:rPr>
          <w:rFonts w:ascii="Calibri" w:hAnsi="Calibri"/>
          <w:sz w:val="22"/>
          <w:szCs w:val="22"/>
          <w:lang w:val="nl-NL"/>
        </w:rPr>
        <w:t xml:space="preserve"> studie zal uitgevoerd worden in </w:t>
      </w:r>
      <w:r w:rsidR="002E5119" w:rsidRPr="00330237">
        <w:rPr>
          <w:rFonts w:ascii="Calibri" w:hAnsi="Calibri" w:cs="Arial"/>
          <w:sz w:val="22"/>
          <w:szCs w:val="22"/>
          <w:lang w:val="nl-NL"/>
        </w:rPr>
        <w:t>±</w:t>
      </w:r>
      <w:r w:rsidR="00A87D02" w:rsidRPr="00330237">
        <w:rPr>
          <w:rFonts w:ascii="Calibri" w:hAnsi="Calibri"/>
          <w:sz w:val="22"/>
          <w:szCs w:val="22"/>
          <w:lang w:val="nl-NL"/>
        </w:rPr>
        <w:t>10</w:t>
      </w:r>
      <w:r w:rsidR="002E5119" w:rsidRPr="00330237">
        <w:rPr>
          <w:rFonts w:ascii="Calibri" w:hAnsi="Calibri"/>
          <w:sz w:val="22"/>
          <w:szCs w:val="22"/>
          <w:lang w:val="nl-NL"/>
        </w:rPr>
        <w:t xml:space="preserve"> Nederlandse ziekenhuizen. </w:t>
      </w:r>
    </w:p>
    <w:p w:rsidR="002E5119" w:rsidRPr="00330237" w:rsidRDefault="002E5119" w:rsidP="00A87D02">
      <w:pPr>
        <w:spacing w:line="360" w:lineRule="auto"/>
        <w:rPr>
          <w:rFonts w:ascii="Calibri" w:hAnsi="Calibri"/>
          <w:b/>
          <w:sz w:val="22"/>
          <w:szCs w:val="22"/>
          <w:lang w:val="nl-NL"/>
        </w:rPr>
      </w:pPr>
    </w:p>
    <w:p w:rsidR="004647EB" w:rsidRPr="00330237" w:rsidRDefault="00944C4B" w:rsidP="00A87D02">
      <w:pPr>
        <w:spacing w:line="360" w:lineRule="auto"/>
        <w:rPr>
          <w:rFonts w:ascii="Calibri" w:hAnsi="Calibri"/>
          <w:sz w:val="22"/>
          <w:szCs w:val="22"/>
          <w:lang w:val="nl-NL"/>
        </w:rPr>
      </w:pPr>
      <w:r>
        <w:rPr>
          <w:rFonts w:ascii="Calibri" w:hAnsi="Calibri"/>
          <w:b/>
          <w:sz w:val="22"/>
          <w:szCs w:val="22"/>
          <w:lang w:val="nl-NL"/>
        </w:rPr>
        <w:t xml:space="preserve">2. </w:t>
      </w:r>
      <w:r w:rsidR="0020322F" w:rsidRPr="00330237">
        <w:rPr>
          <w:rFonts w:ascii="Calibri" w:hAnsi="Calibri"/>
          <w:b/>
          <w:sz w:val="22"/>
          <w:szCs w:val="22"/>
          <w:lang w:val="nl-NL"/>
        </w:rPr>
        <w:t>Doel studie:</w:t>
      </w:r>
      <w:r w:rsidR="0020322F" w:rsidRPr="00330237">
        <w:rPr>
          <w:rFonts w:ascii="Calibri" w:hAnsi="Calibri"/>
          <w:sz w:val="22"/>
          <w:szCs w:val="22"/>
          <w:lang w:val="nl-NL"/>
        </w:rPr>
        <w:t xml:space="preserve"> H</w:t>
      </w:r>
      <w:r w:rsidR="00574960" w:rsidRPr="00330237">
        <w:rPr>
          <w:rFonts w:ascii="Calibri" w:hAnsi="Calibri"/>
          <w:sz w:val="22"/>
          <w:szCs w:val="22"/>
          <w:lang w:val="nl-NL"/>
        </w:rPr>
        <w:t>et bepalen</w:t>
      </w:r>
      <w:r w:rsidR="004647EB" w:rsidRPr="00330237">
        <w:rPr>
          <w:rFonts w:ascii="Calibri" w:hAnsi="Calibri"/>
          <w:sz w:val="22"/>
          <w:szCs w:val="22"/>
          <w:lang w:val="nl-NL"/>
        </w:rPr>
        <w:t xml:space="preserve"> van de effectiviteit, veiligheid, kwalit</w:t>
      </w:r>
      <w:r w:rsidR="0020322F" w:rsidRPr="00330237">
        <w:rPr>
          <w:rFonts w:ascii="Calibri" w:hAnsi="Calibri"/>
          <w:sz w:val="22"/>
          <w:szCs w:val="22"/>
          <w:lang w:val="nl-NL"/>
        </w:rPr>
        <w:t xml:space="preserve">eit van leven, kosteneffectiviteit en </w:t>
      </w:r>
      <w:proofErr w:type="spellStart"/>
      <w:r w:rsidR="0020322F" w:rsidRPr="00330237">
        <w:rPr>
          <w:rFonts w:ascii="Calibri" w:hAnsi="Calibri"/>
          <w:sz w:val="22"/>
          <w:szCs w:val="22"/>
          <w:lang w:val="nl-NL"/>
        </w:rPr>
        <w:t>farmacokinetische</w:t>
      </w:r>
      <w:proofErr w:type="spellEnd"/>
      <w:r w:rsidR="0020322F" w:rsidRPr="00330237">
        <w:rPr>
          <w:rFonts w:ascii="Calibri" w:hAnsi="Calibri"/>
          <w:sz w:val="22"/>
          <w:szCs w:val="22"/>
          <w:lang w:val="nl-NL"/>
        </w:rPr>
        <w:t xml:space="preserve">/farmacodynamische </w:t>
      </w:r>
      <w:r w:rsidR="00DF2B4E" w:rsidRPr="00330237">
        <w:rPr>
          <w:rFonts w:ascii="Calibri" w:hAnsi="Calibri"/>
          <w:sz w:val="22"/>
          <w:szCs w:val="22"/>
          <w:lang w:val="nl-NL"/>
        </w:rPr>
        <w:t xml:space="preserve">(PK/PD) </w:t>
      </w:r>
      <w:r w:rsidR="0020322F" w:rsidRPr="00330237">
        <w:rPr>
          <w:rFonts w:ascii="Calibri" w:hAnsi="Calibri"/>
          <w:sz w:val="22"/>
          <w:szCs w:val="22"/>
          <w:lang w:val="nl-NL"/>
        </w:rPr>
        <w:t xml:space="preserve">targets van cefuroxim met kortdurende aminoglycoside </w:t>
      </w:r>
      <w:r w:rsidR="00574960" w:rsidRPr="00330237">
        <w:rPr>
          <w:rFonts w:ascii="Calibri" w:hAnsi="Calibri"/>
          <w:sz w:val="22"/>
          <w:szCs w:val="22"/>
          <w:lang w:val="nl-NL"/>
        </w:rPr>
        <w:t xml:space="preserve">in vergelijking </w:t>
      </w:r>
      <w:r w:rsidR="0020322F" w:rsidRPr="00330237">
        <w:rPr>
          <w:rFonts w:ascii="Calibri" w:hAnsi="Calibri"/>
          <w:sz w:val="22"/>
          <w:szCs w:val="22"/>
          <w:lang w:val="nl-NL"/>
        </w:rPr>
        <w:t xml:space="preserve">met ceftriaxon monotherapie in patiënten met sepsis die zich presenteren op de </w:t>
      </w:r>
      <w:r w:rsidR="00DF2B4E" w:rsidRPr="00330237">
        <w:rPr>
          <w:rFonts w:ascii="Calibri" w:hAnsi="Calibri"/>
          <w:sz w:val="22"/>
          <w:szCs w:val="22"/>
          <w:lang w:val="nl-NL"/>
        </w:rPr>
        <w:t xml:space="preserve">spoedeisende </w:t>
      </w:r>
      <w:r w:rsidR="0020322F" w:rsidRPr="00330237">
        <w:rPr>
          <w:rFonts w:ascii="Calibri" w:hAnsi="Calibri"/>
          <w:sz w:val="22"/>
          <w:szCs w:val="22"/>
          <w:lang w:val="nl-NL"/>
        </w:rPr>
        <w:t xml:space="preserve">eerste hulp </w:t>
      </w:r>
      <w:r w:rsidR="00DF2B4E" w:rsidRPr="00330237">
        <w:rPr>
          <w:rFonts w:ascii="Calibri" w:hAnsi="Calibri"/>
          <w:sz w:val="22"/>
          <w:szCs w:val="22"/>
          <w:lang w:val="nl-NL"/>
        </w:rPr>
        <w:t xml:space="preserve">(SEH) </w:t>
      </w:r>
      <w:r w:rsidR="0020322F" w:rsidRPr="00330237">
        <w:rPr>
          <w:rFonts w:ascii="Calibri" w:hAnsi="Calibri"/>
          <w:sz w:val="22"/>
          <w:szCs w:val="22"/>
          <w:lang w:val="nl-NL"/>
        </w:rPr>
        <w:t xml:space="preserve">en opgenomen worden in het ziekenhuis. </w:t>
      </w:r>
    </w:p>
    <w:p w:rsidR="0020322F" w:rsidRPr="00330237" w:rsidRDefault="0020322F" w:rsidP="00A87D02">
      <w:pPr>
        <w:spacing w:line="360" w:lineRule="auto"/>
        <w:rPr>
          <w:rFonts w:ascii="Calibri" w:hAnsi="Calibri"/>
          <w:sz w:val="22"/>
          <w:szCs w:val="22"/>
          <w:lang w:val="nl-NL"/>
        </w:rPr>
      </w:pPr>
    </w:p>
    <w:p w:rsidR="00DF2B4E" w:rsidRPr="00330237" w:rsidRDefault="00944C4B" w:rsidP="00A87D02">
      <w:pPr>
        <w:spacing w:line="360" w:lineRule="auto"/>
        <w:rPr>
          <w:rFonts w:ascii="Calibri" w:hAnsi="Calibri"/>
          <w:sz w:val="22"/>
          <w:szCs w:val="22"/>
          <w:lang w:val="nl-NL"/>
        </w:rPr>
      </w:pPr>
      <w:r>
        <w:rPr>
          <w:rFonts w:ascii="Calibri" w:hAnsi="Calibri"/>
          <w:b/>
          <w:sz w:val="22"/>
          <w:szCs w:val="22"/>
        </w:rPr>
        <w:t xml:space="preserve">3. </w:t>
      </w:r>
      <w:proofErr w:type="spellStart"/>
      <w:r w:rsidR="00DF2B4E" w:rsidRPr="00330237">
        <w:rPr>
          <w:rFonts w:ascii="Calibri" w:hAnsi="Calibri"/>
          <w:b/>
          <w:sz w:val="22"/>
          <w:szCs w:val="22"/>
        </w:rPr>
        <w:t>Studie</w:t>
      </w:r>
      <w:proofErr w:type="spellEnd"/>
      <w:r w:rsidR="00DF2B4E" w:rsidRPr="00330237">
        <w:rPr>
          <w:rFonts w:ascii="Calibri" w:hAnsi="Calibri"/>
          <w:b/>
          <w:sz w:val="22"/>
          <w:szCs w:val="22"/>
        </w:rPr>
        <w:t xml:space="preserve"> design:</w:t>
      </w:r>
      <w:r w:rsidR="00DF2B4E" w:rsidRPr="00330237">
        <w:rPr>
          <w:rFonts w:ascii="Calibri" w:hAnsi="Calibri"/>
          <w:sz w:val="22"/>
          <w:szCs w:val="22"/>
        </w:rPr>
        <w:t xml:space="preserve"> C</w:t>
      </w:r>
      <w:r w:rsidR="0020322F" w:rsidRPr="00330237">
        <w:rPr>
          <w:rFonts w:ascii="Calibri" w:hAnsi="Calibri"/>
          <w:sz w:val="22"/>
          <w:szCs w:val="22"/>
        </w:rPr>
        <w:t xml:space="preserve">luster-randomized cross-over trial. </w:t>
      </w:r>
      <w:r w:rsidR="00DF2B4E" w:rsidRPr="00330237">
        <w:rPr>
          <w:rFonts w:ascii="Calibri" w:hAnsi="Calibri"/>
          <w:sz w:val="22"/>
          <w:szCs w:val="22"/>
          <w:lang w:val="nl-NL"/>
        </w:rPr>
        <w:t xml:space="preserve">Tijdens de studie zullen de ziekenhuizen gerandomiseerd worden, waarbij het ene jaar cefuroxim + </w:t>
      </w:r>
      <w:r w:rsidR="00CE08D9" w:rsidRPr="00330237">
        <w:rPr>
          <w:rFonts w:ascii="Calibri" w:hAnsi="Calibri"/>
          <w:sz w:val="22"/>
          <w:szCs w:val="22"/>
          <w:lang w:val="nl-NL"/>
        </w:rPr>
        <w:t xml:space="preserve">aminoglycoside de standaardbehandeling wordt voor sepsis </w:t>
      </w:r>
      <w:proofErr w:type="spellStart"/>
      <w:r w:rsidR="00CE08D9" w:rsidRPr="00330237">
        <w:rPr>
          <w:rFonts w:ascii="Calibri" w:hAnsi="Calibri"/>
          <w:sz w:val="22"/>
          <w:szCs w:val="22"/>
          <w:lang w:val="nl-NL"/>
        </w:rPr>
        <w:t>e.c.i</w:t>
      </w:r>
      <w:proofErr w:type="spellEnd"/>
      <w:r w:rsidR="00CE08D9" w:rsidRPr="00330237">
        <w:rPr>
          <w:rFonts w:ascii="Calibri" w:hAnsi="Calibri"/>
          <w:sz w:val="22"/>
          <w:szCs w:val="22"/>
          <w:lang w:val="nl-NL"/>
        </w:rPr>
        <w:t xml:space="preserve">., </w:t>
      </w:r>
      <w:proofErr w:type="spellStart"/>
      <w:r w:rsidR="00CE08D9" w:rsidRPr="00330237">
        <w:rPr>
          <w:rFonts w:ascii="Calibri" w:hAnsi="Calibri"/>
          <w:sz w:val="22"/>
          <w:szCs w:val="22"/>
          <w:lang w:val="nl-NL"/>
        </w:rPr>
        <w:t>urosepsis</w:t>
      </w:r>
      <w:proofErr w:type="spellEnd"/>
      <w:r w:rsidR="00CE08D9" w:rsidRPr="00330237">
        <w:rPr>
          <w:rFonts w:ascii="Calibri" w:hAnsi="Calibri"/>
          <w:sz w:val="22"/>
          <w:szCs w:val="22"/>
          <w:lang w:val="nl-NL"/>
        </w:rPr>
        <w:t xml:space="preserve"> </w:t>
      </w:r>
      <w:r w:rsidR="00DF2B4E" w:rsidRPr="00330237">
        <w:rPr>
          <w:rFonts w:ascii="Calibri" w:hAnsi="Calibri"/>
          <w:sz w:val="22"/>
          <w:szCs w:val="22"/>
          <w:lang w:val="nl-NL"/>
        </w:rPr>
        <w:t>en</w:t>
      </w:r>
      <w:r w:rsidR="00CE08D9" w:rsidRPr="00330237">
        <w:rPr>
          <w:rFonts w:ascii="Calibri" w:hAnsi="Calibri"/>
          <w:sz w:val="22"/>
          <w:szCs w:val="22"/>
          <w:lang w:val="nl-NL"/>
        </w:rPr>
        <w:t xml:space="preserve"> abdominale sepsis, en</w:t>
      </w:r>
      <w:r w:rsidR="00DF2B4E" w:rsidRPr="00330237">
        <w:rPr>
          <w:rFonts w:ascii="Calibri" w:hAnsi="Calibri"/>
          <w:sz w:val="22"/>
          <w:szCs w:val="22"/>
          <w:lang w:val="nl-NL"/>
        </w:rPr>
        <w:t xml:space="preserve"> het andere jaar ceftriaxon monotherapie (en </w:t>
      </w:r>
      <w:proofErr w:type="spellStart"/>
      <w:r w:rsidR="00DF2B4E" w:rsidRPr="00330237">
        <w:rPr>
          <w:rFonts w:ascii="Calibri" w:hAnsi="Calibri"/>
          <w:sz w:val="22"/>
          <w:szCs w:val="22"/>
          <w:lang w:val="nl-NL"/>
        </w:rPr>
        <w:t>vice</w:t>
      </w:r>
      <w:proofErr w:type="spellEnd"/>
      <w:r w:rsidR="00DF2B4E" w:rsidRPr="00330237">
        <w:rPr>
          <w:rFonts w:ascii="Calibri" w:hAnsi="Calibri"/>
          <w:sz w:val="22"/>
          <w:szCs w:val="22"/>
          <w:lang w:val="nl-NL"/>
        </w:rPr>
        <w:t xml:space="preserve">-versa). </w:t>
      </w:r>
    </w:p>
    <w:p w:rsidR="00DF2B4E" w:rsidRPr="00330237" w:rsidRDefault="00944C4B" w:rsidP="00A87D02">
      <w:pPr>
        <w:spacing w:line="360" w:lineRule="auto"/>
        <w:rPr>
          <w:rFonts w:ascii="Calibri" w:hAnsi="Calibri"/>
          <w:sz w:val="22"/>
          <w:szCs w:val="22"/>
          <w:lang w:val="nl-NL"/>
        </w:rPr>
      </w:pPr>
      <w:r>
        <w:rPr>
          <w:rFonts w:ascii="Calibri" w:hAnsi="Calibri"/>
          <w:b/>
          <w:sz w:val="22"/>
          <w:szCs w:val="22"/>
          <w:lang w:val="nl-NL"/>
        </w:rPr>
        <w:lastRenderedPageBreak/>
        <w:t xml:space="preserve">4. </w:t>
      </w:r>
      <w:r w:rsidR="00DF2B4E" w:rsidRPr="00330237">
        <w:rPr>
          <w:rFonts w:ascii="Calibri" w:hAnsi="Calibri"/>
          <w:b/>
          <w:sz w:val="22"/>
          <w:szCs w:val="22"/>
          <w:lang w:val="nl-NL"/>
        </w:rPr>
        <w:t>Studie populatie:</w:t>
      </w:r>
      <w:r w:rsidR="00DF2B4E" w:rsidRPr="00330237">
        <w:rPr>
          <w:rFonts w:ascii="Calibri" w:hAnsi="Calibri"/>
          <w:sz w:val="22"/>
          <w:szCs w:val="22"/>
          <w:lang w:val="nl-NL"/>
        </w:rPr>
        <w:t xml:space="preserve"> Volwassen met community-</w:t>
      </w:r>
      <w:proofErr w:type="spellStart"/>
      <w:r w:rsidR="00DF2B4E" w:rsidRPr="00330237">
        <w:rPr>
          <w:rFonts w:ascii="Calibri" w:hAnsi="Calibri"/>
          <w:sz w:val="22"/>
          <w:szCs w:val="22"/>
          <w:lang w:val="nl-NL"/>
        </w:rPr>
        <w:t>acquired</w:t>
      </w:r>
      <w:proofErr w:type="spellEnd"/>
      <w:r w:rsidR="00DF2B4E" w:rsidRPr="00330237">
        <w:rPr>
          <w:rFonts w:ascii="Calibri" w:hAnsi="Calibri"/>
          <w:sz w:val="22"/>
          <w:szCs w:val="22"/>
          <w:lang w:val="nl-NL"/>
        </w:rPr>
        <w:t xml:space="preserve"> sepsis </w:t>
      </w:r>
      <w:r w:rsidR="00A87D02" w:rsidRPr="00330237">
        <w:rPr>
          <w:rFonts w:ascii="Calibri" w:hAnsi="Calibri"/>
          <w:sz w:val="22"/>
          <w:szCs w:val="22"/>
          <w:lang w:val="nl-NL"/>
        </w:rPr>
        <w:t>(</w:t>
      </w:r>
      <w:proofErr w:type="spellStart"/>
      <w:r w:rsidR="00A87D02" w:rsidRPr="00330237">
        <w:rPr>
          <w:rFonts w:ascii="Calibri" w:hAnsi="Calibri" w:cs="Segoe UI"/>
          <w:sz w:val="22"/>
          <w:szCs w:val="22"/>
          <w:lang w:val="nl-NL"/>
        </w:rPr>
        <w:t>eci</w:t>
      </w:r>
      <w:proofErr w:type="spellEnd"/>
      <w:r w:rsidR="00A87D02" w:rsidRPr="00330237">
        <w:rPr>
          <w:rFonts w:ascii="Calibri" w:hAnsi="Calibri" w:cs="Segoe UI"/>
          <w:sz w:val="22"/>
          <w:szCs w:val="22"/>
          <w:lang w:val="nl-NL"/>
        </w:rPr>
        <w:t>, urinewegen of abdominaal focus)</w:t>
      </w:r>
      <w:r w:rsidR="00A87D02" w:rsidRPr="00330237">
        <w:rPr>
          <w:rFonts w:ascii="Calibri" w:hAnsi="Calibri"/>
          <w:sz w:val="22"/>
          <w:szCs w:val="22"/>
          <w:lang w:val="nl-NL"/>
        </w:rPr>
        <w:t xml:space="preserve"> </w:t>
      </w:r>
      <w:r w:rsidR="00DF2B4E" w:rsidRPr="00330237">
        <w:rPr>
          <w:rFonts w:ascii="Calibri" w:hAnsi="Calibri"/>
          <w:sz w:val="22"/>
          <w:szCs w:val="22"/>
          <w:lang w:val="nl-NL"/>
        </w:rPr>
        <w:t xml:space="preserve">op de SEH met een </w:t>
      </w:r>
      <w:r w:rsidR="00A87D02" w:rsidRPr="00330237">
        <w:rPr>
          <w:rFonts w:ascii="Calibri" w:hAnsi="Calibri"/>
          <w:sz w:val="22"/>
          <w:szCs w:val="22"/>
          <w:lang w:val="nl-NL"/>
        </w:rPr>
        <w:t>N/</w:t>
      </w:r>
      <w:r w:rsidR="00DF2B4E" w:rsidRPr="00330237">
        <w:rPr>
          <w:rFonts w:ascii="Calibri" w:hAnsi="Calibri"/>
          <w:sz w:val="22"/>
          <w:szCs w:val="22"/>
          <w:lang w:val="nl-NL"/>
        </w:rPr>
        <w:t>MEWS</w:t>
      </w:r>
      <w:r w:rsidR="0052020A" w:rsidRPr="00330237">
        <w:rPr>
          <w:rFonts w:ascii="Calibri" w:hAnsi="Calibri"/>
          <w:sz w:val="22"/>
          <w:szCs w:val="22"/>
          <w:lang w:val="nl-NL"/>
        </w:rPr>
        <w:t xml:space="preserve"> </w:t>
      </w:r>
      <w:r w:rsidR="0052020A" w:rsidRPr="00330237">
        <w:rPr>
          <w:rFonts w:ascii="Calibri" w:hAnsi="Calibri" w:cs="Arial"/>
          <w:sz w:val="22"/>
          <w:szCs w:val="22"/>
          <w:lang w:val="nl-NL"/>
        </w:rPr>
        <w:t>≥</w:t>
      </w:r>
      <w:r w:rsidR="0052020A" w:rsidRPr="00330237">
        <w:rPr>
          <w:rFonts w:ascii="Calibri" w:hAnsi="Calibri"/>
          <w:sz w:val="22"/>
          <w:szCs w:val="22"/>
          <w:lang w:val="nl-NL"/>
        </w:rPr>
        <w:t xml:space="preserve"> </w:t>
      </w:r>
      <w:r w:rsidR="00DF2B4E" w:rsidRPr="00330237">
        <w:rPr>
          <w:rFonts w:ascii="Calibri" w:hAnsi="Calibri"/>
          <w:sz w:val="22"/>
          <w:szCs w:val="22"/>
          <w:lang w:val="nl-NL"/>
        </w:rPr>
        <w:t xml:space="preserve">5 en </w:t>
      </w:r>
      <w:r w:rsidR="00C77E03" w:rsidRPr="00330237">
        <w:rPr>
          <w:rFonts w:ascii="Calibri" w:hAnsi="Calibri"/>
          <w:sz w:val="22"/>
          <w:szCs w:val="22"/>
          <w:lang w:val="nl-NL"/>
        </w:rPr>
        <w:t xml:space="preserve">die </w:t>
      </w:r>
      <w:r w:rsidR="00DF2B4E" w:rsidRPr="00330237">
        <w:rPr>
          <w:rFonts w:ascii="Calibri" w:hAnsi="Calibri"/>
          <w:sz w:val="22"/>
          <w:szCs w:val="22"/>
          <w:lang w:val="nl-NL"/>
        </w:rPr>
        <w:t xml:space="preserve">opgenomen worden in het ziekenhuis waarbij empirische behandeling is geïndiceerd. </w:t>
      </w:r>
    </w:p>
    <w:p w:rsidR="00A87D02" w:rsidRPr="00330237" w:rsidRDefault="00A87D02" w:rsidP="00A87D02">
      <w:pPr>
        <w:spacing w:line="360" w:lineRule="auto"/>
        <w:rPr>
          <w:rFonts w:ascii="Calibri" w:hAnsi="Calibri"/>
          <w:sz w:val="22"/>
          <w:szCs w:val="22"/>
          <w:lang w:val="nl-NL"/>
        </w:rPr>
      </w:pPr>
    </w:p>
    <w:p w:rsidR="00C77E03" w:rsidRPr="00330237" w:rsidRDefault="00944C4B" w:rsidP="00A87D02">
      <w:pPr>
        <w:spacing w:line="360" w:lineRule="auto"/>
        <w:rPr>
          <w:rFonts w:ascii="Calibri" w:hAnsi="Calibri"/>
          <w:b/>
          <w:sz w:val="22"/>
          <w:szCs w:val="22"/>
          <w:lang w:val="nl-NL"/>
        </w:rPr>
      </w:pPr>
      <w:r>
        <w:rPr>
          <w:rFonts w:ascii="Calibri" w:hAnsi="Calibri"/>
          <w:b/>
          <w:sz w:val="22"/>
          <w:szCs w:val="22"/>
          <w:lang w:val="nl-NL"/>
        </w:rPr>
        <w:t xml:space="preserve">5. </w:t>
      </w:r>
      <w:r w:rsidR="00A87D02" w:rsidRPr="00330237">
        <w:rPr>
          <w:rFonts w:ascii="Calibri" w:hAnsi="Calibri"/>
          <w:b/>
          <w:sz w:val="22"/>
          <w:szCs w:val="22"/>
          <w:lang w:val="nl-NL"/>
        </w:rPr>
        <w:t xml:space="preserve">Exclusiecriteria: </w:t>
      </w:r>
    </w:p>
    <w:p w:rsidR="00A87D02" w:rsidRPr="00330237" w:rsidRDefault="00A87D02" w:rsidP="00A87D02">
      <w:pPr>
        <w:spacing w:line="360" w:lineRule="auto"/>
        <w:rPr>
          <w:rFonts w:ascii="Calibri" w:hAnsi="Calibri"/>
          <w:sz w:val="22"/>
          <w:szCs w:val="22"/>
          <w:lang w:val="nl-NL"/>
        </w:rPr>
      </w:pPr>
      <w:r w:rsidRPr="00330237">
        <w:rPr>
          <w:rFonts w:ascii="Calibri" w:hAnsi="Calibri"/>
          <w:sz w:val="22"/>
          <w:szCs w:val="22"/>
          <w:lang w:val="nl-NL"/>
        </w:rPr>
        <w:t>1) Werkdiagnose longontsteking op de SEH</w:t>
      </w:r>
    </w:p>
    <w:p w:rsidR="00A87D02" w:rsidRPr="00330237" w:rsidRDefault="00A87D02" w:rsidP="00A87D02">
      <w:pPr>
        <w:spacing w:line="360" w:lineRule="auto"/>
        <w:rPr>
          <w:rFonts w:ascii="Calibri" w:hAnsi="Calibri"/>
          <w:sz w:val="22"/>
          <w:szCs w:val="22"/>
          <w:lang w:val="nl-NL"/>
        </w:rPr>
      </w:pPr>
      <w:r w:rsidRPr="00330237">
        <w:rPr>
          <w:rFonts w:ascii="Calibri" w:hAnsi="Calibri"/>
          <w:sz w:val="22"/>
          <w:szCs w:val="22"/>
          <w:lang w:val="nl-NL"/>
        </w:rPr>
        <w:t>2) Door chemotherapie geïnduceerde neutropenie, aangezien dit in de richtlijnen als een aparte entiteit wordt beschouwd.</w:t>
      </w:r>
    </w:p>
    <w:p w:rsidR="00A87D02" w:rsidRPr="00330237" w:rsidRDefault="00A87D02" w:rsidP="00A87D02">
      <w:pPr>
        <w:spacing w:line="360" w:lineRule="auto"/>
        <w:rPr>
          <w:rFonts w:ascii="Calibri" w:hAnsi="Calibri"/>
          <w:sz w:val="22"/>
          <w:szCs w:val="22"/>
          <w:lang w:val="nl-NL"/>
        </w:rPr>
      </w:pPr>
      <w:r w:rsidRPr="00330237">
        <w:rPr>
          <w:rFonts w:ascii="Calibri" w:hAnsi="Calibri"/>
          <w:sz w:val="22"/>
          <w:szCs w:val="22"/>
          <w:lang w:val="nl-NL"/>
        </w:rPr>
        <w:t>3) Niertransplantatie in de voorgeschiedenis of reeds bestaand nierfalen gedefinieerd als een GFR &lt;30, vanwege een relatieve contra-indicatie voor aminoglycosiden.</w:t>
      </w:r>
    </w:p>
    <w:p w:rsidR="00A87D02" w:rsidRPr="00330237" w:rsidRDefault="00A87D02" w:rsidP="00A87D02">
      <w:pPr>
        <w:spacing w:line="360" w:lineRule="auto"/>
        <w:rPr>
          <w:rFonts w:ascii="Calibri" w:hAnsi="Calibri"/>
          <w:sz w:val="22"/>
          <w:szCs w:val="22"/>
          <w:lang w:val="nl-NL"/>
        </w:rPr>
      </w:pPr>
      <w:r w:rsidRPr="00330237">
        <w:rPr>
          <w:rFonts w:ascii="Calibri" w:hAnsi="Calibri"/>
          <w:sz w:val="22"/>
          <w:szCs w:val="22"/>
          <w:lang w:val="nl-NL"/>
        </w:rPr>
        <w:t>4) Allergie voor cefalosporines of aminoglycosiden, bekend vóór aanvang van de behandeling.</w:t>
      </w:r>
    </w:p>
    <w:p w:rsidR="00A87D02" w:rsidRPr="00330237" w:rsidRDefault="00A87D02" w:rsidP="00A87D02">
      <w:pPr>
        <w:spacing w:line="360" w:lineRule="auto"/>
        <w:rPr>
          <w:rFonts w:ascii="Calibri" w:hAnsi="Calibri"/>
          <w:sz w:val="22"/>
          <w:szCs w:val="22"/>
          <w:lang w:val="nl-NL"/>
        </w:rPr>
      </w:pPr>
      <w:r w:rsidRPr="00330237">
        <w:rPr>
          <w:rFonts w:ascii="Calibri" w:hAnsi="Calibri"/>
          <w:sz w:val="22"/>
          <w:szCs w:val="22"/>
          <w:lang w:val="nl-NL"/>
        </w:rPr>
        <w:t>5) Reeds bestaande slechthorendheid bekend op het moment van presentatie op de SEH.</w:t>
      </w:r>
    </w:p>
    <w:p w:rsidR="00A87D02" w:rsidRPr="00330237" w:rsidRDefault="00A87D02" w:rsidP="00A87D02">
      <w:pPr>
        <w:spacing w:line="360" w:lineRule="auto"/>
        <w:rPr>
          <w:rFonts w:ascii="Calibri" w:hAnsi="Calibri"/>
          <w:sz w:val="22"/>
          <w:szCs w:val="22"/>
          <w:lang w:val="nl-NL"/>
        </w:rPr>
      </w:pPr>
      <w:r w:rsidRPr="00330237">
        <w:rPr>
          <w:rFonts w:ascii="Calibri" w:hAnsi="Calibri"/>
          <w:sz w:val="22"/>
          <w:szCs w:val="22"/>
          <w:lang w:val="nl-NL"/>
        </w:rPr>
        <w:t>6) Geschiedenis van hart-, long- of levertransplantatie.</w:t>
      </w:r>
    </w:p>
    <w:p w:rsidR="00A87D02" w:rsidRPr="00330237" w:rsidRDefault="00A87D02" w:rsidP="00A87D02">
      <w:pPr>
        <w:spacing w:line="360" w:lineRule="auto"/>
        <w:rPr>
          <w:rFonts w:ascii="Calibri" w:hAnsi="Calibri"/>
          <w:sz w:val="22"/>
          <w:szCs w:val="22"/>
          <w:lang w:val="nl-NL"/>
        </w:rPr>
      </w:pPr>
      <w:r w:rsidRPr="00330237">
        <w:rPr>
          <w:rFonts w:ascii="Calibri" w:hAnsi="Calibri"/>
          <w:sz w:val="22"/>
          <w:szCs w:val="22"/>
          <w:lang w:val="nl-NL"/>
        </w:rPr>
        <w:t xml:space="preserve">7) Bekende </w:t>
      </w:r>
      <w:proofErr w:type="spellStart"/>
      <w:r w:rsidRPr="00330237">
        <w:rPr>
          <w:rFonts w:ascii="Calibri" w:hAnsi="Calibri"/>
          <w:sz w:val="22"/>
          <w:szCs w:val="22"/>
          <w:lang w:val="nl-NL"/>
        </w:rPr>
        <w:t>myasthenie</w:t>
      </w:r>
      <w:proofErr w:type="spellEnd"/>
      <w:r w:rsidRPr="00330237">
        <w:rPr>
          <w:rFonts w:ascii="Calibri" w:hAnsi="Calibri"/>
          <w:sz w:val="22"/>
          <w:szCs w:val="22"/>
          <w:lang w:val="nl-NL"/>
        </w:rPr>
        <w:t xml:space="preserve"> of botulisme.</w:t>
      </w:r>
    </w:p>
    <w:p w:rsidR="00A87D02" w:rsidRPr="00330237" w:rsidRDefault="00A87D02" w:rsidP="00A87D02">
      <w:pPr>
        <w:spacing w:line="360" w:lineRule="auto"/>
        <w:rPr>
          <w:rFonts w:ascii="Calibri" w:hAnsi="Calibri"/>
          <w:sz w:val="22"/>
          <w:szCs w:val="22"/>
          <w:lang w:val="nl-NL"/>
        </w:rPr>
      </w:pPr>
      <w:r w:rsidRPr="00330237">
        <w:rPr>
          <w:rFonts w:ascii="Calibri" w:hAnsi="Calibri"/>
          <w:sz w:val="22"/>
          <w:szCs w:val="22"/>
          <w:lang w:val="nl-NL"/>
        </w:rPr>
        <w:t>8) Een patiënt die langdurig een verblijfskatheter heeft gehad of met tussenpozen is gekatheteriseerd. Dit vanwege de aanbevolen empirische behandeling met een aminoglycoside volgens de SWAB-richtlijnen.</w:t>
      </w:r>
    </w:p>
    <w:p w:rsidR="00A87D02" w:rsidRPr="00330237" w:rsidRDefault="00A87D02" w:rsidP="00A87D02">
      <w:pPr>
        <w:spacing w:line="360" w:lineRule="auto"/>
        <w:rPr>
          <w:rFonts w:ascii="Calibri" w:hAnsi="Calibri"/>
          <w:sz w:val="22"/>
          <w:szCs w:val="22"/>
          <w:lang w:val="nl-NL"/>
        </w:rPr>
      </w:pPr>
      <w:r w:rsidRPr="00330237">
        <w:rPr>
          <w:rFonts w:ascii="Calibri" w:hAnsi="Calibri"/>
          <w:sz w:val="22"/>
          <w:szCs w:val="22"/>
          <w:lang w:val="nl-NL"/>
        </w:rPr>
        <w:t xml:space="preserve">9) Gebruik van de medicatie cyclosporine, cisplatine, neuromusculair werkende spierverslappers, orale neomycine en orale </w:t>
      </w:r>
      <w:proofErr w:type="spellStart"/>
      <w:r w:rsidRPr="00330237">
        <w:rPr>
          <w:rFonts w:ascii="Calibri" w:hAnsi="Calibri"/>
          <w:sz w:val="22"/>
          <w:szCs w:val="22"/>
          <w:lang w:val="nl-NL"/>
        </w:rPr>
        <w:t>paromomycine</w:t>
      </w:r>
      <w:proofErr w:type="spellEnd"/>
      <w:r w:rsidRPr="00330237">
        <w:rPr>
          <w:rFonts w:ascii="Calibri" w:hAnsi="Calibri"/>
          <w:sz w:val="22"/>
          <w:szCs w:val="22"/>
          <w:lang w:val="nl-NL"/>
        </w:rPr>
        <w:t xml:space="preserve"> vanwege relatieve contra-indicatie voor aminoglycosiden.</w:t>
      </w:r>
    </w:p>
    <w:p w:rsidR="00A87D02" w:rsidRPr="00330237" w:rsidRDefault="00A87D02" w:rsidP="00A87D02">
      <w:pPr>
        <w:spacing w:line="360" w:lineRule="auto"/>
        <w:rPr>
          <w:rFonts w:ascii="Calibri" w:hAnsi="Calibri"/>
          <w:sz w:val="22"/>
          <w:szCs w:val="22"/>
          <w:lang w:val="nl-NL"/>
        </w:rPr>
      </w:pPr>
      <w:r w:rsidRPr="00330237">
        <w:rPr>
          <w:rFonts w:ascii="Calibri" w:hAnsi="Calibri"/>
          <w:sz w:val="22"/>
          <w:szCs w:val="22"/>
          <w:lang w:val="nl-NL"/>
        </w:rPr>
        <w:t>10) Bekende kolonisatie met een 3e generatie cefalosporine-resistente bacterie relevant in de context van de infectie waarmee de patiënt wordt opgenomen.</w:t>
      </w:r>
    </w:p>
    <w:p w:rsidR="00A87D02" w:rsidRPr="00330237" w:rsidRDefault="00A87D02" w:rsidP="00A87D02">
      <w:pPr>
        <w:spacing w:line="360" w:lineRule="auto"/>
        <w:rPr>
          <w:rFonts w:ascii="Calibri" w:hAnsi="Calibri"/>
          <w:sz w:val="22"/>
          <w:szCs w:val="22"/>
          <w:lang w:val="nl-NL"/>
        </w:rPr>
      </w:pPr>
    </w:p>
    <w:p w:rsidR="00C77E03" w:rsidRPr="00944C4B" w:rsidRDefault="00944C4B" w:rsidP="00A87D02">
      <w:pPr>
        <w:spacing w:line="360" w:lineRule="auto"/>
        <w:rPr>
          <w:rFonts w:ascii="Calibri" w:hAnsi="Calibri"/>
          <w:b/>
          <w:sz w:val="22"/>
          <w:szCs w:val="22"/>
          <w:lang w:val="nl-NL"/>
        </w:rPr>
      </w:pPr>
      <w:r w:rsidRPr="00944C4B">
        <w:rPr>
          <w:rFonts w:ascii="Calibri" w:hAnsi="Calibri"/>
          <w:b/>
          <w:sz w:val="22"/>
          <w:szCs w:val="22"/>
          <w:lang w:val="nl-NL"/>
        </w:rPr>
        <w:t xml:space="preserve">6. </w:t>
      </w:r>
      <w:r w:rsidR="00CE08D9" w:rsidRPr="00944C4B">
        <w:rPr>
          <w:rFonts w:ascii="Calibri" w:hAnsi="Calibri"/>
          <w:b/>
          <w:sz w:val="22"/>
          <w:szCs w:val="22"/>
          <w:lang w:val="nl-NL"/>
        </w:rPr>
        <w:t>Eindpunten:</w:t>
      </w:r>
    </w:p>
    <w:p w:rsidR="00CE08D9" w:rsidRPr="00944C4B" w:rsidRDefault="00CE08D9" w:rsidP="00A87D02">
      <w:pPr>
        <w:pStyle w:val="Lijstalinea"/>
        <w:numPr>
          <w:ilvl w:val="0"/>
          <w:numId w:val="4"/>
        </w:numPr>
        <w:spacing w:line="360" w:lineRule="auto"/>
        <w:rPr>
          <w:rFonts w:ascii="Calibri" w:hAnsi="Calibri"/>
          <w:sz w:val="22"/>
          <w:szCs w:val="22"/>
          <w:lang w:val="nl-NL"/>
        </w:rPr>
      </w:pPr>
      <w:r w:rsidRPr="00944C4B">
        <w:rPr>
          <w:rFonts w:ascii="Calibri" w:hAnsi="Calibri"/>
          <w:sz w:val="22"/>
          <w:szCs w:val="22"/>
          <w:lang w:val="nl-NL"/>
        </w:rPr>
        <w:t>Primaire uitkomst: 30-dagen mortaliteit</w:t>
      </w:r>
    </w:p>
    <w:p w:rsidR="008D37C9" w:rsidRPr="00330237" w:rsidRDefault="00CE08D9" w:rsidP="00A87D02">
      <w:pPr>
        <w:pStyle w:val="Lijstalinea"/>
        <w:numPr>
          <w:ilvl w:val="0"/>
          <w:numId w:val="8"/>
        </w:numPr>
        <w:spacing w:line="360" w:lineRule="auto"/>
        <w:rPr>
          <w:rFonts w:ascii="Calibri" w:hAnsi="Calibri"/>
          <w:b/>
          <w:sz w:val="22"/>
          <w:szCs w:val="22"/>
          <w:lang w:val="nl-NL"/>
        </w:rPr>
      </w:pPr>
      <w:r w:rsidRPr="00330237">
        <w:rPr>
          <w:rFonts w:ascii="Calibri" w:hAnsi="Calibri"/>
          <w:sz w:val="22"/>
          <w:szCs w:val="22"/>
          <w:lang w:val="nl-NL"/>
        </w:rPr>
        <w:t xml:space="preserve">Secundaire uitkomsten: o.a. duur ziekenhuisopname, </w:t>
      </w:r>
      <w:r w:rsidR="00A87D02" w:rsidRPr="00330237">
        <w:rPr>
          <w:rFonts w:ascii="Calibri" w:hAnsi="Calibri"/>
          <w:sz w:val="22"/>
          <w:szCs w:val="22"/>
          <w:lang w:val="nl-NL"/>
        </w:rPr>
        <w:t>complicaties en heropname, bijwerkingen, kwaliteit van leven, kosteneffectiviteit, PK/PD</w:t>
      </w:r>
    </w:p>
    <w:p w:rsidR="00AA416B" w:rsidRDefault="00AA416B" w:rsidP="00A87D02">
      <w:pPr>
        <w:spacing w:line="360" w:lineRule="auto"/>
        <w:rPr>
          <w:rFonts w:ascii="Calibri" w:hAnsi="Calibri"/>
          <w:sz w:val="22"/>
          <w:szCs w:val="22"/>
          <w:lang w:val="nl-NL"/>
        </w:rPr>
      </w:pPr>
    </w:p>
    <w:p w:rsidR="00944C4B" w:rsidRPr="00330237" w:rsidRDefault="00944C4B" w:rsidP="00944C4B">
      <w:pPr>
        <w:spacing w:line="360" w:lineRule="auto"/>
        <w:rPr>
          <w:rFonts w:ascii="Calibri" w:hAnsi="Calibri"/>
          <w:sz w:val="22"/>
          <w:szCs w:val="22"/>
          <w:lang w:val="nl-NL"/>
        </w:rPr>
      </w:pPr>
      <w:r>
        <w:rPr>
          <w:rFonts w:ascii="Calibri" w:hAnsi="Calibri"/>
          <w:b/>
          <w:sz w:val="22"/>
          <w:szCs w:val="22"/>
          <w:lang w:val="nl-NL"/>
        </w:rPr>
        <w:t xml:space="preserve">7. </w:t>
      </w:r>
      <w:r w:rsidRPr="00330237">
        <w:rPr>
          <w:rFonts w:ascii="Calibri" w:hAnsi="Calibri"/>
          <w:b/>
          <w:sz w:val="22"/>
          <w:szCs w:val="22"/>
          <w:lang w:val="nl-NL"/>
        </w:rPr>
        <w:t>Interventie:</w:t>
      </w:r>
      <w:r w:rsidRPr="00330237">
        <w:rPr>
          <w:rFonts w:ascii="Calibri" w:hAnsi="Calibri"/>
          <w:sz w:val="22"/>
          <w:szCs w:val="22"/>
          <w:lang w:val="nl-NL"/>
        </w:rPr>
        <w:t xml:space="preserve"> De studie is gebaseerd op de huidige antibiotica adviezen in de SWAB sepsis richtlijn en de SWAB urineweginfectie richtlijn</w:t>
      </w:r>
      <w:r w:rsidR="001B0BB2">
        <w:rPr>
          <w:rFonts w:ascii="Calibri" w:hAnsi="Calibri"/>
          <w:sz w:val="22"/>
          <w:szCs w:val="22"/>
          <w:lang w:val="nl-NL"/>
        </w:rPr>
        <w:t xml:space="preserve"> </w:t>
      </w:r>
      <w:r w:rsidR="001B0BB2">
        <w:rPr>
          <w:rFonts w:ascii="Calibri" w:hAnsi="Calibri"/>
          <w:sz w:val="22"/>
          <w:szCs w:val="22"/>
          <w:vertAlign w:val="superscript"/>
          <w:lang w:val="nl-NL"/>
        </w:rPr>
        <w:t>1,2</w:t>
      </w:r>
      <w:r w:rsidRPr="00330237">
        <w:rPr>
          <w:rFonts w:ascii="Calibri" w:hAnsi="Calibri"/>
          <w:sz w:val="22"/>
          <w:szCs w:val="22"/>
          <w:lang w:val="nl-NL"/>
        </w:rPr>
        <w:t xml:space="preserve">: Het UMC Utrecht is het eerste jaar gerandomiseerd in: </w:t>
      </w:r>
    </w:p>
    <w:p w:rsidR="00944C4B" w:rsidRPr="00330237" w:rsidRDefault="00944C4B" w:rsidP="00944C4B">
      <w:pPr>
        <w:pStyle w:val="Lijstalinea"/>
        <w:numPr>
          <w:ilvl w:val="0"/>
          <w:numId w:val="3"/>
        </w:numPr>
        <w:spacing w:line="360" w:lineRule="auto"/>
        <w:rPr>
          <w:rFonts w:ascii="Calibri" w:hAnsi="Calibri"/>
          <w:b/>
          <w:i/>
          <w:sz w:val="22"/>
          <w:szCs w:val="22"/>
          <w:u w:val="single"/>
          <w:lang w:val="nl-NL"/>
        </w:rPr>
      </w:pPr>
      <w:r w:rsidRPr="00330237">
        <w:rPr>
          <w:rFonts w:ascii="Calibri" w:hAnsi="Calibri"/>
          <w:b/>
          <w:i/>
          <w:sz w:val="22"/>
          <w:szCs w:val="22"/>
          <w:u w:val="single"/>
          <w:lang w:val="nl-NL"/>
        </w:rPr>
        <w:t xml:space="preserve">Cefuroxim IV (3dd 1500mg of 4500mg/24u met een oplaaddosis van 1500mg) met kortdurende aanvullende behandeling (1 – 2 dagen) van </w:t>
      </w:r>
      <w:r>
        <w:rPr>
          <w:rFonts w:ascii="Calibri" w:hAnsi="Calibri"/>
          <w:b/>
          <w:i/>
          <w:sz w:val="22"/>
          <w:szCs w:val="22"/>
          <w:u w:val="single"/>
          <w:lang w:val="nl-NL"/>
        </w:rPr>
        <w:t>gentamicine IV 1dd 5-7</w:t>
      </w:r>
      <w:r w:rsidRPr="00330237">
        <w:rPr>
          <w:rFonts w:ascii="Calibri" w:hAnsi="Calibri"/>
          <w:b/>
          <w:i/>
          <w:sz w:val="22"/>
          <w:szCs w:val="22"/>
          <w:u w:val="single"/>
          <w:lang w:val="nl-NL"/>
        </w:rPr>
        <w:t xml:space="preserve"> mg/kg. </w:t>
      </w:r>
    </w:p>
    <w:p w:rsidR="00944C4B" w:rsidRPr="00944C4B" w:rsidRDefault="00944C4B" w:rsidP="00A87D02">
      <w:pPr>
        <w:spacing w:line="360" w:lineRule="auto"/>
        <w:rPr>
          <w:rFonts w:ascii="Calibri" w:hAnsi="Calibri"/>
          <w:sz w:val="22"/>
          <w:szCs w:val="22"/>
          <w:lang w:val="nl-NL"/>
        </w:rPr>
      </w:pPr>
      <w:r w:rsidRPr="00944C4B">
        <w:rPr>
          <w:rFonts w:ascii="Calibri" w:hAnsi="Calibri"/>
          <w:sz w:val="22"/>
          <w:szCs w:val="22"/>
          <w:lang w:val="nl-NL"/>
        </w:rPr>
        <w:t xml:space="preserve">Meer informatie </w:t>
      </w:r>
      <w:r>
        <w:rPr>
          <w:rFonts w:ascii="Calibri" w:hAnsi="Calibri"/>
          <w:sz w:val="22"/>
          <w:szCs w:val="22"/>
          <w:lang w:val="nl-NL"/>
        </w:rPr>
        <w:t xml:space="preserve">vindt je o.a. op het farmacotherapeutisch kompas. </w:t>
      </w:r>
      <w:r w:rsidRPr="00944C4B">
        <w:rPr>
          <w:rFonts w:ascii="Calibri" w:hAnsi="Calibri"/>
          <w:sz w:val="22"/>
          <w:szCs w:val="22"/>
          <w:lang w:val="nl-NL"/>
        </w:rPr>
        <w:t xml:space="preserve"> </w:t>
      </w:r>
    </w:p>
    <w:p w:rsidR="00944C4B" w:rsidRPr="00944C4B" w:rsidRDefault="00944C4B" w:rsidP="00944C4B">
      <w:pPr>
        <w:spacing w:line="360" w:lineRule="auto"/>
        <w:rPr>
          <w:rFonts w:ascii="Calibri" w:hAnsi="Calibri"/>
          <w:sz w:val="22"/>
          <w:szCs w:val="22"/>
        </w:rPr>
      </w:pPr>
      <w:r w:rsidRPr="00944C4B">
        <w:rPr>
          <w:rFonts w:ascii="Calibri" w:hAnsi="Calibri"/>
          <w:sz w:val="22"/>
          <w:szCs w:val="22"/>
        </w:rPr>
        <w:lastRenderedPageBreak/>
        <w:t xml:space="preserve">Cefuroxim: </w:t>
      </w:r>
    </w:p>
    <w:p w:rsidR="00944C4B" w:rsidRDefault="007253D0" w:rsidP="00A87D02">
      <w:pPr>
        <w:spacing w:line="360" w:lineRule="auto"/>
        <w:rPr>
          <w:rFonts w:ascii="Calibri" w:hAnsi="Calibri"/>
          <w:sz w:val="22"/>
          <w:szCs w:val="22"/>
        </w:rPr>
      </w:pPr>
      <w:hyperlink r:id="rId6" w:history="1">
        <w:r w:rsidR="00944C4B" w:rsidRPr="008572AD">
          <w:rPr>
            <w:rStyle w:val="Hyperlink"/>
            <w:rFonts w:ascii="Calibri" w:hAnsi="Calibri"/>
            <w:sz w:val="22"/>
            <w:szCs w:val="22"/>
          </w:rPr>
          <w:t>https://www.farmacotherapeutischkompas.nl/bladeren/preparaatteksten/c/cefuroxim__systemisch_</w:t>
        </w:r>
      </w:hyperlink>
    </w:p>
    <w:p w:rsidR="00944C4B" w:rsidRPr="00944C4B" w:rsidRDefault="00944C4B" w:rsidP="00A87D02">
      <w:pPr>
        <w:spacing w:line="360" w:lineRule="auto"/>
        <w:rPr>
          <w:rFonts w:ascii="Calibri" w:hAnsi="Calibri"/>
          <w:sz w:val="22"/>
          <w:szCs w:val="22"/>
        </w:rPr>
      </w:pPr>
    </w:p>
    <w:p w:rsidR="00944C4B" w:rsidRPr="00944C4B" w:rsidRDefault="00944C4B" w:rsidP="00A87D02">
      <w:pPr>
        <w:spacing w:line="360" w:lineRule="auto"/>
        <w:rPr>
          <w:rFonts w:ascii="Calibri" w:hAnsi="Calibri"/>
          <w:b/>
          <w:sz w:val="22"/>
          <w:szCs w:val="22"/>
        </w:rPr>
      </w:pPr>
      <w:r w:rsidRPr="00944C4B">
        <w:rPr>
          <w:rFonts w:ascii="Calibri" w:hAnsi="Calibri"/>
          <w:sz w:val="22"/>
          <w:szCs w:val="22"/>
        </w:rPr>
        <w:t xml:space="preserve">Gentamycine: </w:t>
      </w:r>
      <w:hyperlink r:id="rId7" w:history="1">
        <w:r w:rsidRPr="00944C4B">
          <w:rPr>
            <w:rStyle w:val="Hyperlink"/>
            <w:rFonts w:ascii="Calibri" w:hAnsi="Calibri"/>
            <w:sz w:val="22"/>
            <w:szCs w:val="22"/>
          </w:rPr>
          <w:t>https://www.farmacotherapeutischkompas.nl/bladeren/preparaatteksten/g/gentamicine__parenteraal_</w:t>
        </w:r>
      </w:hyperlink>
      <w:r>
        <w:rPr>
          <w:rFonts w:ascii="Calibri" w:hAnsi="Calibri"/>
          <w:b/>
          <w:sz w:val="22"/>
          <w:szCs w:val="22"/>
        </w:rPr>
        <w:t xml:space="preserve"> </w:t>
      </w:r>
    </w:p>
    <w:p w:rsidR="00944C4B" w:rsidRDefault="00944C4B" w:rsidP="00A87D02">
      <w:pPr>
        <w:spacing w:line="360" w:lineRule="auto"/>
        <w:rPr>
          <w:rFonts w:ascii="Calibri" w:hAnsi="Calibri"/>
          <w:b/>
          <w:sz w:val="22"/>
          <w:szCs w:val="22"/>
          <w:lang w:val="nl-NL"/>
        </w:rPr>
      </w:pPr>
    </w:p>
    <w:p w:rsidR="00944C4B" w:rsidRPr="001B0BB2" w:rsidRDefault="00944C4B" w:rsidP="00A87D02">
      <w:pPr>
        <w:spacing w:line="360" w:lineRule="auto"/>
        <w:rPr>
          <w:rFonts w:ascii="Calibri" w:hAnsi="Calibri"/>
          <w:sz w:val="22"/>
          <w:szCs w:val="22"/>
          <w:lang w:val="nl-NL"/>
        </w:rPr>
      </w:pPr>
      <w:r w:rsidRPr="001B0BB2">
        <w:rPr>
          <w:rFonts w:ascii="Calibri" w:hAnsi="Calibri"/>
          <w:b/>
          <w:sz w:val="22"/>
          <w:szCs w:val="22"/>
          <w:lang w:val="nl-NL"/>
        </w:rPr>
        <w:t>8</w:t>
      </w:r>
      <w:r w:rsidRPr="001B0BB2">
        <w:rPr>
          <w:rFonts w:ascii="Calibri" w:hAnsi="Calibri"/>
          <w:sz w:val="22"/>
          <w:szCs w:val="22"/>
          <w:lang w:val="nl-NL"/>
        </w:rPr>
        <w:t xml:space="preserve">. </w:t>
      </w:r>
      <w:r w:rsidRPr="001B0BB2">
        <w:rPr>
          <w:rFonts w:ascii="Calibri" w:hAnsi="Calibri"/>
          <w:b/>
          <w:sz w:val="22"/>
          <w:szCs w:val="22"/>
          <w:lang w:val="nl-NL"/>
        </w:rPr>
        <w:t>Dosering gentamycine bij obese patiënten</w:t>
      </w:r>
      <w:r w:rsidR="001B0BB2" w:rsidRPr="001B0BB2">
        <w:rPr>
          <w:rFonts w:ascii="Calibri" w:hAnsi="Calibri"/>
          <w:b/>
          <w:sz w:val="22"/>
          <w:szCs w:val="22"/>
          <w:lang w:val="nl-NL"/>
        </w:rPr>
        <w:t xml:space="preserve"> </w:t>
      </w:r>
      <w:r w:rsidR="001B0BB2" w:rsidRPr="001B0BB2">
        <w:rPr>
          <w:rFonts w:ascii="Calibri" w:hAnsi="Calibri"/>
          <w:b/>
          <w:sz w:val="22"/>
          <w:szCs w:val="22"/>
          <w:vertAlign w:val="superscript"/>
          <w:lang w:val="nl-NL"/>
        </w:rPr>
        <w:t>3</w:t>
      </w:r>
    </w:p>
    <w:tbl>
      <w:tblPr>
        <w:tblStyle w:val="Rastertabel4-Accent11"/>
        <w:tblW w:w="0" w:type="auto"/>
        <w:tblLook w:val="04A0" w:firstRow="1" w:lastRow="0" w:firstColumn="1" w:lastColumn="0" w:noHBand="0" w:noVBand="1"/>
      </w:tblPr>
      <w:tblGrid>
        <w:gridCol w:w="4606"/>
        <w:gridCol w:w="4606"/>
      </w:tblGrid>
      <w:tr w:rsidR="001B0BB2" w:rsidRPr="001B0BB2" w:rsidTr="001B0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B0BB2" w:rsidRPr="001B0BB2" w:rsidRDefault="001B0BB2" w:rsidP="001B0BB2">
            <w:pPr>
              <w:tabs>
                <w:tab w:val="left" w:pos="284"/>
                <w:tab w:val="left" w:pos="1701"/>
              </w:tabs>
              <w:spacing w:line="360" w:lineRule="auto"/>
              <w:rPr>
                <w:rFonts w:ascii="Calibri" w:hAnsi="Calibri" w:cstheme="minorBidi"/>
                <w:b w:val="0"/>
                <w:bCs w:val="0"/>
                <w:color w:val="auto"/>
                <w:sz w:val="22"/>
                <w:szCs w:val="22"/>
                <w:lang w:eastAsia="en-US"/>
              </w:rPr>
            </w:pPr>
            <w:r w:rsidRPr="001B0BB2">
              <w:rPr>
                <w:rFonts w:ascii="Calibri" w:hAnsi="Calibri" w:cstheme="minorBidi"/>
                <w:b w:val="0"/>
                <w:bCs w:val="0"/>
                <w:color w:val="auto"/>
                <w:sz w:val="22"/>
                <w:szCs w:val="22"/>
                <w:lang w:eastAsia="en-US"/>
              </w:rPr>
              <w:t xml:space="preserve">Totale lichaamsgewicht (kg) </w:t>
            </w:r>
          </w:p>
        </w:tc>
        <w:tc>
          <w:tcPr>
            <w:tcW w:w="4606" w:type="dxa"/>
          </w:tcPr>
          <w:p w:rsidR="001B0BB2" w:rsidRPr="001B0BB2" w:rsidRDefault="001B0BB2" w:rsidP="001B0BB2">
            <w:pPr>
              <w:tabs>
                <w:tab w:val="left" w:pos="284"/>
                <w:tab w:val="left" w:pos="1701"/>
              </w:tabs>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cstheme="minorBidi"/>
                <w:b w:val="0"/>
                <w:bCs w:val="0"/>
                <w:color w:val="auto"/>
                <w:sz w:val="22"/>
                <w:szCs w:val="22"/>
                <w:lang w:eastAsia="en-US"/>
              </w:rPr>
            </w:pPr>
            <w:r w:rsidRPr="001B0BB2">
              <w:rPr>
                <w:rFonts w:ascii="Calibri" w:hAnsi="Calibri" w:cstheme="minorBidi"/>
                <w:b w:val="0"/>
                <w:bCs w:val="0"/>
                <w:color w:val="auto"/>
                <w:sz w:val="22"/>
                <w:szCs w:val="22"/>
                <w:lang w:eastAsia="en-US"/>
              </w:rPr>
              <w:t xml:space="preserve">Aminoglycoside dosering (mg) </w:t>
            </w:r>
          </w:p>
        </w:tc>
      </w:tr>
      <w:tr w:rsidR="001B0BB2" w:rsidRPr="001B0BB2" w:rsidTr="001B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B0BB2" w:rsidRPr="001B0BB2" w:rsidRDefault="001B0BB2" w:rsidP="001B0BB2">
            <w:pPr>
              <w:tabs>
                <w:tab w:val="left" w:pos="284"/>
                <w:tab w:val="left" w:pos="1701"/>
              </w:tabs>
              <w:spacing w:line="360" w:lineRule="auto"/>
              <w:rPr>
                <w:rFonts w:ascii="Calibri" w:hAnsi="Calibri" w:cstheme="minorBidi"/>
                <w:b w:val="0"/>
                <w:bCs w:val="0"/>
                <w:sz w:val="22"/>
                <w:szCs w:val="22"/>
                <w:lang w:eastAsia="en-US"/>
              </w:rPr>
            </w:pPr>
            <w:r w:rsidRPr="001B0BB2">
              <w:rPr>
                <w:rFonts w:ascii="Calibri" w:hAnsi="Calibri" w:cstheme="minorBidi"/>
                <w:b w:val="0"/>
                <w:bCs w:val="0"/>
                <w:sz w:val="22"/>
                <w:szCs w:val="22"/>
                <w:lang w:eastAsia="en-US"/>
              </w:rPr>
              <w:t>100 – 120</w:t>
            </w:r>
          </w:p>
        </w:tc>
        <w:tc>
          <w:tcPr>
            <w:tcW w:w="4606" w:type="dxa"/>
          </w:tcPr>
          <w:p w:rsidR="001B0BB2" w:rsidRPr="001B0BB2" w:rsidRDefault="001B0BB2" w:rsidP="001B0BB2">
            <w:pPr>
              <w:tabs>
                <w:tab w:val="left" w:pos="284"/>
                <w:tab w:val="left" w:pos="1701"/>
              </w:tabs>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theme="minorBidi"/>
                <w:sz w:val="22"/>
                <w:szCs w:val="22"/>
                <w:lang w:eastAsia="en-US"/>
              </w:rPr>
            </w:pPr>
            <w:r w:rsidRPr="001B0BB2">
              <w:rPr>
                <w:rFonts w:ascii="Calibri" w:hAnsi="Calibri" w:cstheme="minorBidi"/>
                <w:sz w:val="22"/>
                <w:szCs w:val="22"/>
                <w:lang w:eastAsia="en-US"/>
              </w:rPr>
              <w:t>480</w:t>
            </w:r>
          </w:p>
        </w:tc>
      </w:tr>
      <w:tr w:rsidR="001B0BB2" w:rsidRPr="001B0BB2" w:rsidTr="00515EA1">
        <w:tc>
          <w:tcPr>
            <w:cnfStyle w:val="001000000000" w:firstRow="0" w:lastRow="0" w:firstColumn="1" w:lastColumn="0" w:oddVBand="0" w:evenVBand="0" w:oddHBand="0" w:evenHBand="0" w:firstRowFirstColumn="0" w:firstRowLastColumn="0" w:lastRowFirstColumn="0" w:lastRowLastColumn="0"/>
            <w:tcW w:w="4606" w:type="dxa"/>
          </w:tcPr>
          <w:p w:rsidR="001B0BB2" w:rsidRPr="001B0BB2" w:rsidRDefault="001B0BB2" w:rsidP="001B0BB2">
            <w:pPr>
              <w:tabs>
                <w:tab w:val="left" w:pos="284"/>
                <w:tab w:val="left" w:pos="1701"/>
              </w:tabs>
              <w:spacing w:line="360" w:lineRule="auto"/>
              <w:rPr>
                <w:rFonts w:ascii="Calibri" w:hAnsi="Calibri" w:cstheme="minorBidi"/>
                <w:b w:val="0"/>
                <w:bCs w:val="0"/>
                <w:sz w:val="22"/>
                <w:szCs w:val="22"/>
                <w:lang w:eastAsia="en-US"/>
              </w:rPr>
            </w:pPr>
            <w:r w:rsidRPr="001B0BB2">
              <w:rPr>
                <w:rFonts w:ascii="Calibri" w:hAnsi="Calibri" w:cstheme="minorBidi"/>
                <w:b w:val="0"/>
                <w:bCs w:val="0"/>
                <w:sz w:val="22"/>
                <w:szCs w:val="22"/>
                <w:lang w:eastAsia="en-US"/>
              </w:rPr>
              <w:t>120 – 140</w:t>
            </w:r>
          </w:p>
        </w:tc>
        <w:tc>
          <w:tcPr>
            <w:tcW w:w="4606" w:type="dxa"/>
          </w:tcPr>
          <w:p w:rsidR="001B0BB2" w:rsidRPr="001B0BB2" w:rsidRDefault="001B0BB2" w:rsidP="001B0BB2">
            <w:pPr>
              <w:tabs>
                <w:tab w:val="left" w:pos="284"/>
                <w:tab w:val="left" w:pos="1701"/>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2"/>
                <w:szCs w:val="22"/>
                <w:lang w:eastAsia="en-US"/>
              </w:rPr>
            </w:pPr>
            <w:r w:rsidRPr="001B0BB2">
              <w:rPr>
                <w:rFonts w:ascii="Calibri" w:hAnsi="Calibri" w:cstheme="minorBidi"/>
                <w:sz w:val="22"/>
                <w:szCs w:val="22"/>
                <w:lang w:eastAsia="en-US"/>
              </w:rPr>
              <w:t>560</w:t>
            </w:r>
          </w:p>
        </w:tc>
      </w:tr>
      <w:tr w:rsidR="001B0BB2" w:rsidRPr="001B0BB2" w:rsidTr="001B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B0BB2" w:rsidRPr="001B0BB2" w:rsidRDefault="001B0BB2" w:rsidP="001B0BB2">
            <w:pPr>
              <w:tabs>
                <w:tab w:val="left" w:pos="284"/>
                <w:tab w:val="left" w:pos="1701"/>
              </w:tabs>
              <w:spacing w:line="360" w:lineRule="auto"/>
              <w:rPr>
                <w:rFonts w:ascii="Calibri" w:hAnsi="Calibri" w:cstheme="minorBidi"/>
                <w:b w:val="0"/>
                <w:bCs w:val="0"/>
                <w:sz w:val="22"/>
                <w:szCs w:val="22"/>
                <w:lang w:eastAsia="en-US"/>
              </w:rPr>
            </w:pPr>
            <w:r w:rsidRPr="001B0BB2">
              <w:rPr>
                <w:rFonts w:ascii="Calibri" w:hAnsi="Calibri" w:cstheme="minorBidi"/>
                <w:b w:val="0"/>
                <w:bCs w:val="0"/>
                <w:sz w:val="22"/>
                <w:szCs w:val="22"/>
                <w:lang w:eastAsia="en-US"/>
              </w:rPr>
              <w:t>140 – 160</w:t>
            </w:r>
          </w:p>
        </w:tc>
        <w:tc>
          <w:tcPr>
            <w:tcW w:w="4606" w:type="dxa"/>
          </w:tcPr>
          <w:p w:rsidR="001B0BB2" w:rsidRPr="001B0BB2" w:rsidRDefault="001B0BB2" w:rsidP="001B0BB2">
            <w:pPr>
              <w:tabs>
                <w:tab w:val="left" w:pos="284"/>
                <w:tab w:val="left" w:pos="1701"/>
              </w:tabs>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theme="minorBidi"/>
                <w:sz w:val="22"/>
                <w:szCs w:val="22"/>
                <w:lang w:eastAsia="en-US"/>
              </w:rPr>
            </w:pPr>
            <w:r w:rsidRPr="001B0BB2">
              <w:rPr>
                <w:rFonts w:ascii="Calibri" w:hAnsi="Calibri" w:cstheme="minorBidi"/>
                <w:sz w:val="22"/>
                <w:szCs w:val="22"/>
                <w:lang w:eastAsia="en-US"/>
              </w:rPr>
              <w:t>600</w:t>
            </w:r>
          </w:p>
        </w:tc>
      </w:tr>
      <w:tr w:rsidR="001B0BB2" w:rsidRPr="001B0BB2" w:rsidTr="00515EA1">
        <w:tc>
          <w:tcPr>
            <w:cnfStyle w:val="001000000000" w:firstRow="0" w:lastRow="0" w:firstColumn="1" w:lastColumn="0" w:oddVBand="0" w:evenVBand="0" w:oddHBand="0" w:evenHBand="0" w:firstRowFirstColumn="0" w:firstRowLastColumn="0" w:lastRowFirstColumn="0" w:lastRowLastColumn="0"/>
            <w:tcW w:w="4606" w:type="dxa"/>
          </w:tcPr>
          <w:p w:rsidR="001B0BB2" w:rsidRPr="001B0BB2" w:rsidRDefault="001B0BB2" w:rsidP="001B0BB2">
            <w:pPr>
              <w:tabs>
                <w:tab w:val="left" w:pos="284"/>
                <w:tab w:val="left" w:pos="1701"/>
              </w:tabs>
              <w:spacing w:line="360" w:lineRule="auto"/>
              <w:rPr>
                <w:rFonts w:ascii="Calibri" w:hAnsi="Calibri" w:cstheme="minorBidi"/>
                <w:b w:val="0"/>
                <w:bCs w:val="0"/>
                <w:sz w:val="22"/>
                <w:szCs w:val="22"/>
                <w:lang w:eastAsia="en-US"/>
              </w:rPr>
            </w:pPr>
            <w:r w:rsidRPr="001B0BB2">
              <w:rPr>
                <w:rFonts w:ascii="Calibri" w:hAnsi="Calibri" w:cstheme="minorBidi"/>
                <w:b w:val="0"/>
                <w:bCs w:val="0"/>
                <w:sz w:val="22"/>
                <w:szCs w:val="22"/>
                <w:lang w:eastAsia="en-US"/>
              </w:rPr>
              <w:t>160 – 180</w:t>
            </w:r>
          </w:p>
        </w:tc>
        <w:tc>
          <w:tcPr>
            <w:tcW w:w="4606" w:type="dxa"/>
          </w:tcPr>
          <w:p w:rsidR="001B0BB2" w:rsidRPr="001B0BB2" w:rsidRDefault="001B0BB2" w:rsidP="001B0BB2">
            <w:pPr>
              <w:tabs>
                <w:tab w:val="left" w:pos="284"/>
                <w:tab w:val="left" w:pos="1701"/>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2"/>
                <w:szCs w:val="22"/>
                <w:lang w:eastAsia="en-US"/>
              </w:rPr>
            </w:pPr>
            <w:r w:rsidRPr="001B0BB2">
              <w:rPr>
                <w:rFonts w:ascii="Calibri" w:hAnsi="Calibri" w:cstheme="minorBidi"/>
                <w:sz w:val="22"/>
                <w:szCs w:val="22"/>
                <w:lang w:eastAsia="en-US"/>
              </w:rPr>
              <w:t>680</w:t>
            </w:r>
          </w:p>
        </w:tc>
      </w:tr>
      <w:tr w:rsidR="001B0BB2" w:rsidRPr="001B0BB2" w:rsidTr="001B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B0BB2" w:rsidRPr="001B0BB2" w:rsidRDefault="001B0BB2" w:rsidP="001B0BB2">
            <w:pPr>
              <w:tabs>
                <w:tab w:val="left" w:pos="284"/>
                <w:tab w:val="left" w:pos="1701"/>
              </w:tabs>
              <w:spacing w:line="360" w:lineRule="auto"/>
              <w:rPr>
                <w:rFonts w:ascii="Calibri" w:hAnsi="Calibri" w:cstheme="minorBidi"/>
                <w:b w:val="0"/>
                <w:bCs w:val="0"/>
                <w:sz w:val="22"/>
                <w:szCs w:val="22"/>
                <w:lang w:eastAsia="en-US"/>
              </w:rPr>
            </w:pPr>
            <w:r w:rsidRPr="001B0BB2">
              <w:rPr>
                <w:rFonts w:ascii="Calibri" w:hAnsi="Calibri" w:cstheme="minorBidi"/>
                <w:b w:val="0"/>
                <w:bCs w:val="0"/>
                <w:sz w:val="22"/>
                <w:szCs w:val="22"/>
                <w:lang w:eastAsia="en-US"/>
              </w:rPr>
              <w:t>180 – 200</w:t>
            </w:r>
          </w:p>
        </w:tc>
        <w:tc>
          <w:tcPr>
            <w:tcW w:w="4606" w:type="dxa"/>
          </w:tcPr>
          <w:p w:rsidR="001B0BB2" w:rsidRPr="001B0BB2" w:rsidRDefault="001B0BB2" w:rsidP="001B0BB2">
            <w:pPr>
              <w:tabs>
                <w:tab w:val="left" w:pos="284"/>
                <w:tab w:val="left" w:pos="1701"/>
              </w:tabs>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cstheme="minorBidi"/>
                <w:sz w:val="22"/>
                <w:szCs w:val="22"/>
                <w:lang w:eastAsia="en-US"/>
              </w:rPr>
            </w:pPr>
            <w:r w:rsidRPr="001B0BB2">
              <w:rPr>
                <w:rFonts w:ascii="Calibri" w:hAnsi="Calibri" w:cstheme="minorBidi"/>
                <w:sz w:val="22"/>
                <w:szCs w:val="22"/>
                <w:lang w:eastAsia="en-US"/>
              </w:rPr>
              <w:t>760</w:t>
            </w:r>
          </w:p>
        </w:tc>
      </w:tr>
      <w:tr w:rsidR="001B0BB2" w:rsidRPr="001B0BB2" w:rsidTr="00515EA1">
        <w:tc>
          <w:tcPr>
            <w:cnfStyle w:val="001000000000" w:firstRow="0" w:lastRow="0" w:firstColumn="1" w:lastColumn="0" w:oddVBand="0" w:evenVBand="0" w:oddHBand="0" w:evenHBand="0" w:firstRowFirstColumn="0" w:firstRowLastColumn="0" w:lastRowFirstColumn="0" w:lastRowLastColumn="0"/>
            <w:tcW w:w="4606" w:type="dxa"/>
          </w:tcPr>
          <w:p w:rsidR="001B0BB2" w:rsidRPr="001B0BB2" w:rsidRDefault="001B0BB2" w:rsidP="001B0BB2">
            <w:pPr>
              <w:tabs>
                <w:tab w:val="left" w:pos="284"/>
                <w:tab w:val="left" w:pos="1701"/>
              </w:tabs>
              <w:spacing w:line="360" w:lineRule="auto"/>
              <w:rPr>
                <w:rFonts w:ascii="Calibri" w:hAnsi="Calibri" w:cstheme="minorBidi"/>
                <w:b w:val="0"/>
                <w:bCs w:val="0"/>
                <w:sz w:val="22"/>
                <w:szCs w:val="22"/>
                <w:lang w:eastAsia="en-US"/>
              </w:rPr>
            </w:pPr>
            <w:r w:rsidRPr="001B0BB2">
              <w:rPr>
                <w:rFonts w:ascii="Calibri" w:hAnsi="Calibri" w:cstheme="minorBidi"/>
                <w:b w:val="0"/>
                <w:bCs w:val="0"/>
                <w:sz w:val="22"/>
                <w:szCs w:val="22"/>
                <w:lang w:eastAsia="en-US"/>
              </w:rPr>
              <w:t>200 – 220</w:t>
            </w:r>
          </w:p>
        </w:tc>
        <w:tc>
          <w:tcPr>
            <w:tcW w:w="4606" w:type="dxa"/>
          </w:tcPr>
          <w:p w:rsidR="001B0BB2" w:rsidRPr="001B0BB2" w:rsidRDefault="001B0BB2" w:rsidP="001B0BB2">
            <w:pPr>
              <w:tabs>
                <w:tab w:val="left" w:pos="284"/>
                <w:tab w:val="left" w:pos="1701"/>
              </w:tabs>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2"/>
                <w:szCs w:val="22"/>
                <w:lang w:eastAsia="en-US"/>
              </w:rPr>
            </w:pPr>
            <w:r w:rsidRPr="001B0BB2">
              <w:rPr>
                <w:rFonts w:ascii="Calibri" w:hAnsi="Calibri" w:cstheme="minorBidi"/>
                <w:sz w:val="22"/>
                <w:szCs w:val="22"/>
                <w:lang w:eastAsia="en-US"/>
              </w:rPr>
              <w:t>800</w:t>
            </w:r>
          </w:p>
        </w:tc>
      </w:tr>
    </w:tbl>
    <w:p w:rsidR="001B0BB2" w:rsidRPr="001B0BB2" w:rsidRDefault="001B0BB2" w:rsidP="001B0BB2">
      <w:pPr>
        <w:tabs>
          <w:tab w:val="left" w:pos="284"/>
          <w:tab w:val="left" w:pos="1701"/>
        </w:tabs>
        <w:spacing w:line="360" w:lineRule="auto"/>
        <w:rPr>
          <w:rFonts w:ascii="Calibri" w:hAnsi="Calibri"/>
          <w:sz w:val="22"/>
          <w:szCs w:val="22"/>
          <w:lang w:val="nl-NL"/>
        </w:rPr>
      </w:pPr>
      <w:r w:rsidRPr="001B0BB2">
        <w:rPr>
          <w:rFonts w:ascii="Calibri" w:hAnsi="Calibri"/>
          <w:sz w:val="22"/>
          <w:szCs w:val="22"/>
          <w:lang w:val="nl-NL"/>
        </w:rPr>
        <w:t xml:space="preserve">Gebaseerd op aminoglycoside 1dd 5mg/kg. </w:t>
      </w:r>
    </w:p>
    <w:p w:rsidR="00944C4B" w:rsidRPr="001B0BB2" w:rsidRDefault="00944C4B" w:rsidP="00A87D02">
      <w:pPr>
        <w:spacing w:line="360" w:lineRule="auto"/>
        <w:rPr>
          <w:rFonts w:ascii="Calibri" w:hAnsi="Calibri"/>
          <w:sz w:val="22"/>
          <w:szCs w:val="22"/>
          <w:lang w:val="nl-NL"/>
        </w:rPr>
      </w:pPr>
    </w:p>
    <w:p w:rsidR="00A87D02" w:rsidRPr="00330237" w:rsidRDefault="001B0BB2" w:rsidP="00A87D02">
      <w:pPr>
        <w:spacing w:line="360" w:lineRule="auto"/>
        <w:rPr>
          <w:rFonts w:ascii="Calibri" w:hAnsi="Calibri"/>
          <w:b/>
          <w:sz w:val="22"/>
          <w:szCs w:val="22"/>
          <w:lang w:val="nl-NL"/>
        </w:rPr>
      </w:pPr>
      <w:r>
        <w:rPr>
          <w:rFonts w:ascii="Calibri" w:hAnsi="Calibri"/>
          <w:b/>
          <w:sz w:val="22"/>
          <w:szCs w:val="22"/>
          <w:lang w:val="nl-NL"/>
        </w:rPr>
        <w:t xml:space="preserve">9. </w:t>
      </w:r>
      <w:r w:rsidR="00A87D02" w:rsidRPr="00330237">
        <w:rPr>
          <w:rFonts w:ascii="Calibri" w:hAnsi="Calibri"/>
          <w:b/>
          <w:sz w:val="22"/>
          <w:szCs w:val="22"/>
          <w:lang w:val="nl-NL"/>
        </w:rPr>
        <w:t xml:space="preserve">Contactgegevens: </w:t>
      </w:r>
      <w:r w:rsidR="00A87D02" w:rsidRPr="00330237">
        <w:rPr>
          <w:rFonts w:ascii="Calibri" w:hAnsi="Calibri"/>
          <w:sz w:val="22"/>
          <w:szCs w:val="22"/>
          <w:lang w:val="nl-NL"/>
        </w:rPr>
        <w:t>Eva Koekenbier, arts-onderzoeker</w:t>
      </w:r>
      <w:r w:rsidR="00A87D02" w:rsidRPr="00330237">
        <w:rPr>
          <w:rFonts w:ascii="Calibri" w:hAnsi="Calibri"/>
          <w:b/>
          <w:sz w:val="22"/>
          <w:szCs w:val="22"/>
          <w:lang w:val="nl-NL"/>
        </w:rPr>
        <w:t xml:space="preserve">, </w:t>
      </w:r>
      <w:hyperlink r:id="rId8" w:history="1">
        <w:r w:rsidR="00A87D02" w:rsidRPr="00330237">
          <w:rPr>
            <w:rStyle w:val="Hyperlink"/>
            <w:rFonts w:ascii="Calibri" w:hAnsi="Calibri"/>
            <w:sz w:val="22"/>
            <w:szCs w:val="22"/>
            <w:lang w:val="nl-NL"/>
          </w:rPr>
          <w:t>e.l.koekenbier@umcutrecht.nl</w:t>
        </w:r>
      </w:hyperlink>
      <w:r w:rsidR="00A87D02" w:rsidRPr="00330237">
        <w:rPr>
          <w:rFonts w:ascii="Calibri" w:hAnsi="Calibri"/>
          <w:sz w:val="22"/>
          <w:szCs w:val="22"/>
          <w:lang w:val="nl-NL"/>
        </w:rPr>
        <w:t xml:space="preserve"> of via </w:t>
      </w:r>
      <w:hyperlink r:id="rId9" w:history="1">
        <w:r w:rsidR="00A87D02" w:rsidRPr="00330237">
          <w:rPr>
            <w:rStyle w:val="Hyperlink"/>
            <w:rFonts w:ascii="Calibri" w:hAnsi="Calibri"/>
            <w:sz w:val="22"/>
            <w:szCs w:val="22"/>
            <w:lang w:val="nl-NL"/>
          </w:rPr>
          <w:t>sagastudie@umcutrecht.nl</w:t>
        </w:r>
      </w:hyperlink>
    </w:p>
    <w:p w:rsidR="00A87D02" w:rsidRDefault="00A87D02" w:rsidP="00A87D02">
      <w:pPr>
        <w:spacing w:line="360" w:lineRule="auto"/>
        <w:rPr>
          <w:rFonts w:ascii="Calibri" w:hAnsi="Calibri"/>
          <w:sz w:val="22"/>
          <w:szCs w:val="22"/>
          <w:lang w:val="nl-NL"/>
        </w:rPr>
      </w:pPr>
    </w:p>
    <w:p w:rsidR="001B0BB2" w:rsidRPr="001B0BB2" w:rsidRDefault="001B0BB2" w:rsidP="001B0BB2">
      <w:pPr>
        <w:spacing w:line="360" w:lineRule="auto"/>
        <w:rPr>
          <w:rFonts w:ascii="Calibri" w:hAnsi="Calibri"/>
          <w:b/>
          <w:sz w:val="22"/>
          <w:szCs w:val="22"/>
          <w:lang w:val="nl-NL"/>
        </w:rPr>
      </w:pPr>
      <w:r>
        <w:rPr>
          <w:rFonts w:ascii="Calibri" w:hAnsi="Calibri"/>
          <w:b/>
          <w:sz w:val="22"/>
          <w:szCs w:val="22"/>
          <w:lang w:val="nl-NL"/>
        </w:rPr>
        <w:t xml:space="preserve">10. </w:t>
      </w:r>
      <w:r w:rsidRPr="001B0BB2">
        <w:rPr>
          <w:rFonts w:ascii="Calibri" w:hAnsi="Calibri"/>
          <w:b/>
          <w:sz w:val="22"/>
          <w:szCs w:val="22"/>
          <w:lang w:val="nl-NL"/>
        </w:rPr>
        <w:t>Bronnen</w:t>
      </w:r>
    </w:p>
    <w:p w:rsidR="001B0BB2" w:rsidRPr="001B0BB2" w:rsidRDefault="001B0BB2" w:rsidP="001B0BB2">
      <w:pPr>
        <w:spacing w:line="360" w:lineRule="auto"/>
        <w:rPr>
          <w:rFonts w:ascii="Calibri" w:hAnsi="Calibri"/>
          <w:sz w:val="22"/>
          <w:szCs w:val="22"/>
          <w:lang w:val="nl-NL"/>
        </w:rPr>
      </w:pPr>
      <w:r>
        <w:rPr>
          <w:rFonts w:ascii="Calibri" w:hAnsi="Calibri"/>
          <w:sz w:val="22"/>
          <w:szCs w:val="22"/>
          <w:lang w:val="nl-NL"/>
        </w:rPr>
        <w:t xml:space="preserve">1. </w:t>
      </w:r>
      <w:r>
        <w:rPr>
          <w:rFonts w:ascii="Calibri" w:hAnsi="Calibri"/>
          <w:sz w:val="22"/>
          <w:szCs w:val="22"/>
          <w:lang w:val="nl-NL"/>
        </w:rPr>
        <w:tab/>
      </w:r>
      <w:r w:rsidRPr="001B0BB2">
        <w:rPr>
          <w:rFonts w:ascii="Calibri" w:hAnsi="Calibri"/>
          <w:sz w:val="22"/>
          <w:szCs w:val="22"/>
          <w:lang w:val="nl-NL"/>
        </w:rPr>
        <w:t xml:space="preserve">Sieswerda E, Bax HI, </w:t>
      </w:r>
      <w:proofErr w:type="spellStart"/>
      <w:r w:rsidRPr="001B0BB2">
        <w:rPr>
          <w:rFonts w:ascii="Calibri" w:hAnsi="Calibri"/>
          <w:sz w:val="22"/>
          <w:szCs w:val="22"/>
          <w:lang w:val="nl-NL"/>
        </w:rPr>
        <w:t>Hoogerwerf</w:t>
      </w:r>
      <w:proofErr w:type="spellEnd"/>
      <w:r w:rsidRPr="001B0BB2">
        <w:rPr>
          <w:rFonts w:ascii="Calibri" w:hAnsi="Calibri"/>
          <w:sz w:val="22"/>
          <w:szCs w:val="22"/>
          <w:lang w:val="nl-NL"/>
        </w:rPr>
        <w:t xml:space="preserve"> JJ, de Boer MGJ, Boermeester M, et al. </w:t>
      </w:r>
      <w:r w:rsidRPr="001B0BB2">
        <w:rPr>
          <w:rFonts w:ascii="Calibri" w:hAnsi="Calibri"/>
          <w:sz w:val="22"/>
          <w:szCs w:val="22"/>
        </w:rPr>
        <w:t xml:space="preserve">The Dutch Working Party on Antibiotic Policy (SWAB) guideline for empirical antibacterial therapy of sepsis in adults [Internet]. </w:t>
      </w:r>
      <w:r w:rsidRPr="001B0BB2">
        <w:rPr>
          <w:rFonts w:ascii="Calibri" w:hAnsi="Calibri"/>
          <w:sz w:val="22"/>
          <w:szCs w:val="22"/>
          <w:lang w:val="nl-NL"/>
        </w:rPr>
        <w:t xml:space="preserve">2020. </w:t>
      </w:r>
      <w:proofErr w:type="spellStart"/>
      <w:r w:rsidRPr="001B0BB2">
        <w:rPr>
          <w:rFonts w:ascii="Calibri" w:hAnsi="Calibri"/>
          <w:sz w:val="22"/>
          <w:szCs w:val="22"/>
          <w:lang w:val="nl-NL"/>
        </w:rPr>
        <w:t>Available</w:t>
      </w:r>
      <w:proofErr w:type="spellEnd"/>
      <w:r w:rsidRPr="001B0BB2">
        <w:rPr>
          <w:rFonts w:ascii="Calibri" w:hAnsi="Calibri"/>
          <w:sz w:val="22"/>
          <w:szCs w:val="22"/>
          <w:lang w:val="nl-NL"/>
        </w:rPr>
        <w:t xml:space="preserve"> </w:t>
      </w:r>
      <w:proofErr w:type="spellStart"/>
      <w:r w:rsidRPr="001B0BB2">
        <w:rPr>
          <w:rFonts w:ascii="Calibri" w:hAnsi="Calibri"/>
          <w:sz w:val="22"/>
          <w:szCs w:val="22"/>
          <w:lang w:val="nl-NL"/>
        </w:rPr>
        <w:t>from</w:t>
      </w:r>
      <w:proofErr w:type="spellEnd"/>
      <w:r w:rsidRPr="001B0BB2">
        <w:rPr>
          <w:rFonts w:ascii="Calibri" w:hAnsi="Calibri"/>
          <w:sz w:val="22"/>
          <w:szCs w:val="22"/>
          <w:lang w:val="nl-NL"/>
        </w:rPr>
        <w:t xml:space="preserve">: </w:t>
      </w:r>
      <w:hyperlink r:id="rId10" w:history="1">
        <w:r w:rsidRPr="008572AD">
          <w:rPr>
            <w:rStyle w:val="Hyperlink"/>
            <w:rFonts w:ascii="Calibri" w:hAnsi="Calibri"/>
            <w:sz w:val="22"/>
            <w:szCs w:val="22"/>
            <w:lang w:val="nl-NL"/>
          </w:rPr>
          <w:t>https://swab.nl/en/richtlijnen-swab</w:t>
        </w:r>
      </w:hyperlink>
      <w:r>
        <w:rPr>
          <w:rFonts w:ascii="Calibri" w:hAnsi="Calibri"/>
          <w:sz w:val="22"/>
          <w:szCs w:val="22"/>
          <w:lang w:val="nl-NL"/>
        </w:rPr>
        <w:t xml:space="preserve"> </w:t>
      </w:r>
    </w:p>
    <w:p w:rsidR="001B0BB2" w:rsidRDefault="001B0BB2" w:rsidP="001B0BB2">
      <w:pPr>
        <w:spacing w:line="360" w:lineRule="auto"/>
        <w:rPr>
          <w:rFonts w:ascii="Calibri" w:hAnsi="Calibri"/>
          <w:sz w:val="22"/>
          <w:szCs w:val="22"/>
          <w:lang w:val="nl-NL"/>
        </w:rPr>
      </w:pPr>
      <w:r w:rsidRPr="001B0BB2">
        <w:rPr>
          <w:rFonts w:ascii="Calibri" w:hAnsi="Calibri"/>
          <w:sz w:val="22"/>
          <w:szCs w:val="22"/>
          <w:lang w:val="nl-NL"/>
        </w:rPr>
        <w:t>2.</w:t>
      </w:r>
      <w:r w:rsidRPr="001B0BB2">
        <w:rPr>
          <w:rFonts w:ascii="Calibri" w:hAnsi="Calibri"/>
          <w:sz w:val="22"/>
          <w:szCs w:val="22"/>
          <w:lang w:val="nl-NL"/>
        </w:rPr>
        <w:tab/>
        <w:t xml:space="preserve">Terpstra ML, Geerlings SE, van Nieuwkoop C, van </w:t>
      </w:r>
      <w:proofErr w:type="spellStart"/>
      <w:r w:rsidRPr="001B0BB2">
        <w:rPr>
          <w:rFonts w:ascii="Calibri" w:hAnsi="Calibri"/>
          <w:sz w:val="22"/>
          <w:szCs w:val="22"/>
          <w:lang w:val="nl-NL"/>
        </w:rPr>
        <w:t>Haarst</w:t>
      </w:r>
      <w:proofErr w:type="spellEnd"/>
      <w:r w:rsidRPr="001B0BB2">
        <w:rPr>
          <w:rFonts w:ascii="Calibri" w:hAnsi="Calibri"/>
          <w:sz w:val="22"/>
          <w:szCs w:val="22"/>
          <w:lang w:val="nl-NL"/>
        </w:rPr>
        <w:t xml:space="preserve"> EP, Boom H, et al. </w:t>
      </w:r>
      <w:r w:rsidRPr="001B0BB2">
        <w:rPr>
          <w:rFonts w:ascii="Calibri" w:hAnsi="Calibri"/>
          <w:sz w:val="22"/>
          <w:szCs w:val="22"/>
        </w:rPr>
        <w:t xml:space="preserve">Optimization of the antibiotic policy in the Netherlands: SWAB guidelines for antimicrobial therapy of urinary tract infections in adults [Internet]. </w:t>
      </w:r>
      <w:r w:rsidRPr="001B0BB2">
        <w:rPr>
          <w:rFonts w:ascii="Calibri" w:hAnsi="Calibri"/>
          <w:sz w:val="22"/>
          <w:szCs w:val="22"/>
          <w:lang w:val="nl-NL"/>
        </w:rPr>
        <w:t xml:space="preserve">2020. </w:t>
      </w:r>
      <w:proofErr w:type="spellStart"/>
      <w:r w:rsidRPr="001B0BB2">
        <w:rPr>
          <w:rFonts w:ascii="Calibri" w:hAnsi="Calibri"/>
          <w:sz w:val="22"/>
          <w:szCs w:val="22"/>
          <w:lang w:val="nl-NL"/>
        </w:rPr>
        <w:t>Available</w:t>
      </w:r>
      <w:proofErr w:type="spellEnd"/>
      <w:r w:rsidRPr="001B0BB2">
        <w:rPr>
          <w:rFonts w:ascii="Calibri" w:hAnsi="Calibri"/>
          <w:sz w:val="22"/>
          <w:szCs w:val="22"/>
          <w:lang w:val="nl-NL"/>
        </w:rPr>
        <w:t xml:space="preserve"> </w:t>
      </w:r>
      <w:proofErr w:type="spellStart"/>
      <w:r w:rsidRPr="001B0BB2">
        <w:rPr>
          <w:rFonts w:ascii="Calibri" w:hAnsi="Calibri"/>
          <w:sz w:val="22"/>
          <w:szCs w:val="22"/>
          <w:lang w:val="nl-NL"/>
        </w:rPr>
        <w:t>from</w:t>
      </w:r>
      <w:proofErr w:type="spellEnd"/>
      <w:r w:rsidRPr="001B0BB2">
        <w:rPr>
          <w:rFonts w:ascii="Calibri" w:hAnsi="Calibri"/>
          <w:sz w:val="22"/>
          <w:szCs w:val="22"/>
          <w:lang w:val="nl-NL"/>
        </w:rPr>
        <w:t xml:space="preserve">: </w:t>
      </w:r>
      <w:hyperlink r:id="rId11" w:history="1">
        <w:r w:rsidRPr="008572AD">
          <w:rPr>
            <w:rStyle w:val="Hyperlink"/>
            <w:rFonts w:ascii="Calibri" w:hAnsi="Calibri"/>
            <w:sz w:val="22"/>
            <w:szCs w:val="22"/>
            <w:lang w:val="nl-NL"/>
          </w:rPr>
          <w:t>https://swab.nl/en/richtlijnen-swab</w:t>
        </w:r>
      </w:hyperlink>
    </w:p>
    <w:p w:rsidR="001B0BB2" w:rsidRPr="00330237" w:rsidRDefault="001B0BB2" w:rsidP="001B0BB2">
      <w:pPr>
        <w:spacing w:line="360" w:lineRule="auto"/>
        <w:rPr>
          <w:rFonts w:ascii="Calibri" w:hAnsi="Calibri"/>
          <w:sz w:val="22"/>
          <w:szCs w:val="22"/>
          <w:lang w:val="nl-NL"/>
        </w:rPr>
      </w:pPr>
      <w:r>
        <w:rPr>
          <w:rFonts w:ascii="Calibri" w:hAnsi="Calibri"/>
          <w:sz w:val="22"/>
          <w:szCs w:val="22"/>
          <w:lang w:val="nl-NL"/>
        </w:rPr>
        <w:t xml:space="preserve">3. </w:t>
      </w:r>
      <w:r>
        <w:rPr>
          <w:rFonts w:ascii="Calibri" w:hAnsi="Calibri"/>
          <w:sz w:val="22"/>
          <w:szCs w:val="22"/>
          <w:lang w:val="nl-NL"/>
        </w:rPr>
        <w:tab/>
      </w:r>
      <w:r w:rsidRPr="001B0BB2">
        <w:rPr>
          <w:rFonts w:ascii="Calibri" w:hAnsi="Calibri"/>
          <w:sz w:val="22"/>
          <w:szCs w:val="22"/>
          <w:lang w:val="nl-NL"/>
        </w:rPr>
        <w:t xml:space="preserve">Smit C, </w:t>
      </w:r>
      <w:proofErr w:type="spellStart"/>
      <w:r w:rsidRPr="001B0BB2">
        <w:rPr>
          <w:rFonts w:ascii="Calibri" w:hAnsi="Calibri"/>
          <w:sz w:val="22"/>
          <w:szCs w:val="22"/>
          <w:lang w:val="nl-NL"/>
        </w:rPr>
        <w:t>Wasmann</w:t>
      </w:r>
      <w:proofErr w:type="spellEnd"/>
      <w:r w:rsidRPr="001B0BB2">
        <w:rPr>
          <w:rFonts w:ascii="Calibri" w:hAnsi="Calibri"/>
          <w:sz w:val="22"/>
          <w:szCs w:val="22"/>
          <w:lang w:val="nl-NL"/>
        </w:rPr>
        <w:t xml:space="preserve"> RE, </w:t>
      </w:r>
      <w:proofErr w:type="spellStart"/>
      <w:r w:rsidRPr="001B0BB2">
        <w:rPr>
          <w:rFonts w:ascii="Calibri" w:hAnsi="Calibri"/>
          <w:sz w:val="22"/>
          <w:szCs w:val="22"/>
          <w:lang w:val="nl-NL"/>
        </w:rPr>
        <w:t>Goulooze</w:t>
      </w:r>
      <w:proofErr w:type="spellEnd"/>
      <w:r w:rsidRPr="001B0BB2">
        <w:rPr>
          <w:rFonts w:ascii="Calibri" w:hAnsi="Calibri"/>
          <w:sz w:val="22"/>
          <w:szCs w:val="22"/>
          <w:lang w:val="nl-NL"/>
        </w:rPr>
        <w:t xml:space="preserve"> SC, Hazebroek EJ, van Dongen EPA, et al. </w:t>
      </w:r>
      <w:r w:rsidRPr="001B0BB2">
        <w:rPr>
          <w:rFonts w:ascii="Calibri" w:hAnsi="Calibri"/>
          <w:sz w:val="22"/>
          <w:szCs w:val="22"/>
        </w:rPr>
        <w:t xml:space="preserve">A Prospective Clinical Study Characterizing the Influence of Morbid Obesity on the Pharmacokinetics of Gentamicin: Towards Individualized Dosing in Obese Patients. </w:t>
      </w:r>
      <w:proofErr w:type="spellStart"/>
      <w:r w:rsidRPr="001B0BB2">
        <w:rPr>
          <w:rFonts w:ascii="Calibri" w:hAnsi="Calibri"/>
          <w:sz w:val="22"/>
          <w:szCs w:val="22"/>
          <w:lang w:val="nl-NL"/>
        </w:rPr>
        <w:t>Clin</w:t>
      </w:r>
      <w:proofErr w:type="spellEnd"/>
      <w:r w:rsidRPr="001B0BB2">
        <w:rPr>
          <w:rFonts w:ascii="Calibri" w:hAnsi="Calibri"/>
          <w:sz w:val="22"/>
          <w:szCs w:val="22"/>
          <w:lang w:val="nl-NL"/>
        </w:rPr>
        <w:t xml:space="preserve"> </w:t>
      </w:r>
      <w:proofErr w:type="spellStart"/>
      <w:r w:rsidRPr="001B0BB2">
        <w:rPr>
          <w:rFonts w:ascii="Calibri" w:hAnsi="Calibri"/>
          <w:sz w:val="22"/>
          <w:szCs w:val="22"/>
          <w:lang w:val="nl-NL"/>
        </w:rPr>
        <w:t>Pharmacokinet</w:t>
      </w:r>
      <w:proofErr w:type="spellEnd"/>
      <w:r w:rsidRPr="001B0BB2">
        <w:rPr>
          <w:rFonts w:ascii="Calibri" w:hAnsi="Calibri"/>
          <w:sz w:val="22"/>
          <w:szCs w:val="22"/>
          <w:lang w:val="nl-NL"/>
        </w:rPr>
        <w:t>. 2019;58(10):1333-1343.</w:t>
      </w:r>
    </w:p>
    <w:sectPr w:rsidR="001B0BB2" w:rsidRPr="0033023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977"/>
    <w:multiLevelType w:val="hybridMultilevel"/>
    <w:tmpl w:val="ACB406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114B03"/>
    <w:multiLevelType w:val="hybridMultilevel"/>
    <w:tmpl w:val="3430A2F2"/>
    <w:lvl w:ilvl="0" w:tplc="A7AE57AA">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D20842"/>
    <w:multiLevelType w:val="hybridMultilevel"/>
    <w:tmpl w:val="D41260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5" w15:restartNumberingAfterBreak="0">
    <w:nsid w:val="48EB14B2"/>
    <w:multiLevelType w:val="hybridMultilevel"/>
    <w:tmpl w:val="5364A10C"/>
    <w:lvl w:ilvl="0" w:tplc="04130001">
      <w:start w:val="1"/>
      <w:numFmt w:val="bullet"/>
      <w:lvlText w:val=""/>
      <w:lvlJc w:val="left"/>
      <w:pPr>
        <w:ind w:left="360" w:hanging="360"/>
      </w:pPr>
      <w:rPr>
        <w:rFonts w:ascii="Symbol" w:hAnsi="Symbol" w:hint="default"/>
      </w:rPr>
    </w:lvl>
    <w:lvl w:ilvl="1" w:tplc="D4D6C7FA">
      <w:start w:val="1"/>
      <w:numFmt w:val="bullet"/>
      <w:lvlText w:val="-"/>
      <w:lvlJc w:val="left"/>
      <w:pPr>
        <w:ind w:left="1080" w:hanging="360"/>
      </w:pPr>
      <w:rPr>
        <w:rFonts w:ascii="Calibri" w:eastAsia="Times New Roman"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4CC4DA8"/>
    <w:multiLevelType w:val="hybridMultilevel"/>
    <w:tmpl w:val="F4D2C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030367"/>
    <w:multiLevelType w:val="hybridMultilevel"/>
    <w:tmpl w:val="734A7D08"/>
    <w:lvl w:ilvl="0" w:tplc="2D465F22">
      <w:start w:val="1"/>
      <w:numFmt w:val="bullet"/>
      <w:lvlText w:val="•"/>
      <w:lvlJc w:val="left"/>
      <w:pPr>
        <w:tabs>
          <w:tab w:val="num" w:pos="720"/>
        </w:tabs>
        <w:ind w:left="720" w:hanging="360"/>
      </w:pPr>
      <w:rPr>
        <w:rFonts w:ascii="Arial" w:hAnsi="Arial" w:hint="default"/>
      </w:rPr>
    </w:lvl>
    <w:lvl w:ilvl="1" w:tplc="FBD260AA" w:tentative="1">
      <w:start w:val="1"/>
      <w:numFmt w:val="bullet"/>
      <w:lvlText w:val="•"/>
      <w:lvlJc w:val="left"/>
      <w:pPr>
        <w:tabs>
          <w:tab w:val="num" w:pos="1440"/>
        </w:tabs>
        <w:ind w:left="1440" w:hanging="360"/>
      </w:pPr>
      <w:rPr>
        <w:rFonts w:ascii="Arial" w:hAnsi="Arial" w:hint="default"/>
      </w:rPr>
    </w:lvl>
    <w:lvl w:ilvl="2" w:tplc="ECD8B9D2" w:tentative="1">
      <w:start w:val="1"/>
      <w:numFmt w:val="bullet"/>
      <w:lvlText w:val="•"/>
      <w:lvlJc w:val="left"/>
      <w:pPr>
        <w:tabs>
          <w:tab w:val="num" w:pos="2160"/>
        </w:tabs>
        <w:ind w:left="2160" w:hanging="360"/>
      </w:pPr>
      <w:rPr>
        <w:rFonts w:ascii="Arial" w:hAnsi="Arial" w:hint="default"/>
      </w:rPr>
    </w:lvl>
    <w:lvl w:ilvl="3" w:tplc="65B8C29A" w:tentative="1">
      <w:start w:val="1"/>
      <w:numFmt w:val="bullet"/>
      <w:lvlText w:val="•"/>
      <w:lvlJc w:val="left"/>
      <w:pPr>
        <w:tabs>
          <w:tab w:val="num" w:pos="2880"/>
        </w:tabs>
        <w:ind w:left="2880" w:hanging="360"/>
      </w:pPr>
      <w:rPr>
        <w:rFonts w:ascii="Arial" w:hAnsi="Arial" w:hint="default"/>
      </w:rPr>
    </w:lvl>
    <w:lvl w:ilvl="4" w:tplc="0AF84628" w:tentative="1">
      <w:start w:val="1"/>
      <w:numFmt w:val="bullet"/>
      <w:lvlText w:val="•"/>
      <w:lvlJc w:val="left"/>
      <w:pPr>
        <w:tabs>
          <w:tab w:val="num" w:pos="3600"/>
        </w:tabs>
        <w:ind w:left="3600" w:hanging="360"/>
      </w:pPr>
      <w:rPr>
        <w:rFonts w:ascii="Arial" w:hAnsi="Arial" w:hint="default"/>
      </w:rPr>
    </w:lvl>
    <w:lvl w:ilvl="5" w:tplc="026AF148" w:tentative="1">
      <w:start w:val="1"/>
      <w:numFmt w:val="bullet"/>
      <w:lvlText w:val="•"/>
      <w:lvlJc w:val="left"/>
      <w:pPr>
        <w:tabs>
          <w:tab w:val="num" w:pos="4320"/>
        </w:tabs>
        <w:ind w:left="4320" w:hanging="360"/>
      </w:pPr>
      <w:rPr>
        <w:rFonts w:ascii="Arial" w:hAnsi="Arial" w:hint="default"/>
      </w:rPr>
    </w:lvl>
    <w:lvl w:ilvl="6" w:tplc="113A3B6A" w:tentative="1">
      <w:start w:val="1"/>
      <w:numFmt w:val="bullet"/>
      <w:lvlText w:val="•"/>
      <w:lvlJc w:val="left"/>
      <w:pPr>
        <w:tabs>
          <w:tab w:val="num" w:pos="5040"/>
        </w:tabs>
        <w:ind w:left="5040" w:hanging="360"/>
      </w:pPr>
      <w:rPr>
        <w:rFonts w:ascii="Arial" w:hAnsi="Arial" w:hint="default"/>
      </w:rPr>
    </w:lvl>
    <w:lvl w:ilvl="7" w:tplc="AEEC410C" w:tentative="1">
      <w:start w:val="1"/>
      <w:numFmt w:val="bullet"/>
      <w:lvlText w:val="•"/>
      <w:lvlJc w:val="left"/>
      <w:pPr>
        <w:tabs>
          <w:tab w:val="num" w:pos="5760"/>
        </w:tabs>
        <w:ind w:left="5760" w:hanging="360"/>
      </w:pPr>
      <w:rPr>
        <w:rFonts w:ascii="Arial" w:hAnsi="Arial" w:hint="default"/>
      </w:rPr>
    </w:lvl>
    <w:lvl w:ilvl="8" w:tplc="E07C99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570BAB"/>
    <w:multiLevelType w:val="hybridMultilevel"/>
    <w:tmpl w:val="1BF633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E8D197E"/>
    <w:multiLevelType w:val="hybridMultilevel"/>
    <w:tmpl w:val="3FC4B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9"/>
  </w:num>
  <w:num w:numId="6">
    <w:abstractNumId w:val="8"/>
  </w:num>
  <w:num w:numId="7">
    <w:abstractNumId w:val="1"/>
  </w:num>
  <w:num w:numId="8">
    <w:abstractNumId w:val="7"/>
  </w:num>
  <w:num w:numId="9">
    <w:abstractNumId w:val="3"/>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EB"/>
    <w:rsid w:val="00025939"/>
    <w:rsid w:val="00051067"/>
    <w:rsid w:val="0005614D"/>
    <w:rsid w:val="000668BC"/>
    <w:rsid w:val="00091191"/>
    <w:rsid w:val="000A4698"/>
    <w:rsid w:val="00140CCD"/>
    <w:rsid w:val="00145544"/>
    <w:rsid w:val="001907EF"/>
    <w:rsid w:val="001A7FDF"/>
    <w:rsid w:val="001B0BB2"/>
    <w:rsid w:val="0020322F"/>
    <w:rsid w:val="00206E25"/>
    <w:rsid w:val="002B6F42"/>
    <w:rsid w:val="002E5119"/>
    <w:rsid w:val="00330237"/>
    <w:rsid w:val="00345BBC"/>
    <w:rsid w:val="003D2016"/>
    <w:rsid w:val="003E17E8"/>
    <w:rsid w:val="003E63C9"/>
    <w:rsid w:val="004647EB"/>
    <w:rsid w:val="004D7A30"/>
    <w:rsid w:val="004E2CBA"/>
    <w:rsid w:val="0052020A"/>
    <w:rsid w:val="00574960"/>
    <w:rsid w:val="00577B79"/>
    <w:rsid w:val="005B7A78"/>
    <w:rsid w:val="00632F5D"/>
    <w:rsid w:val="006331EC"/>
    <w:rsid w:val="006519D7"/>
    <w:rsid w:val="006645E1"/>
    <w:rsid w:val="00670DCB"/>
    <w:rsid w:val="00713916"/>
    <w:rsid w:val="007253D0"/>
    <w:rsid w:val="00805878"/>
    <w:rsid w:val="0082396C"/>
    <w:rsid w:val="00882998"/>
    <w:rsid w:val="008B0D3A"/>
    <w:rsid w:val="008D37C9"/>
    <w:rsid w:val="009030A0"/>
    <w:rsid w:val="00916458"/>
    <w:rsid w:val="00944C4B"/>
    <w:rsid w:val="00A87D02"/>
    <w:rsid w:val="00AA416B"/>
    <w:rsid w:val="00AB2FAE"/>
    <w:rsid w:val="00AC281B"/>
    <w:rsid w:val="00AC67CD"/>
    <w:rsid w:val="00BA7B3E"/>
    <w:rsid w:val="00BE6361"/>
    <w:rsid w:val="00C77E03"/>
    <w:rsid w:val="00C903BC"/>
    <w:rsid w:val="00CC0A29"/>
    <w:rsid w:val="00CD1617"/>
    <w:rsid w:val="00CE08D9"/>
    <w:rsid w:val="00D165FD"/>
    <w:rsid w:val="00D23ECF"/>
    <w:rsid w:val="00D46CBD"/>
    <w:rsid w:val="00D51AFC"/>
    <w:rsid w:val="00DF1058"/>
    <w:rsid w:val="00DF2B4E"/>
    <w:rsid w:val="00E3518D"/>
    <w:rsid w:val="00E37F9F"/>
    <w:rsid w:val="00E477FB"/>
    <w:rsid w:val="00F3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4CEF3-4B07-4E05-8EDE-F2059BE5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7A78"/>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 w:val="24"/>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lang w:val="nl-NL"/>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table" w:customStyle="1" w:styleId="Rastertabel4-Accent11">
    <w:name w:val="Rastertabel 4 - Accent 11"/>
    <w:basedOn w:val="Standaardtabel"/>
    <w:next w:val="Rastertabel4-Accent1"/>
    <w:uiPriority w:val="49"/>
    <w:rsid w:val="001B0BB2"/>
    <w:rPr>
      <w:rFonts w:ascii="Times New Roman" w:hAnsi="Times New Roman" w:cs="Times New Roman"/>
      <w:lang w:val="nl-NL" w:eastAsia="nl-N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Rastertabel4-Accent1">
    <w:name w:val="Grid Table 4 Accent 1"/>
    <w:basedOn w:val="Standaardtabel"/>
    <w:uiPriority w:val="49"/>
    <w:rsid w:val="001B0BB2"/>
    <w:tblPr>
      <w:tblStyleRowBandSize w:val="1"/>
      <w:tblStyleColBandSize w:val="1"/>
      <w:tblBorders>
        <w:top w:val="single" w:sz="4" w:space="0" w:color="2C9AFF" w:themeColor="accent1" w:themeTint="99"/>
        <w:left w:val="single" w:sz="4" w:space="0" w:color="2C9AFF" w:themeColor="accent1" w:themeTint="99"/>
        <w:bottom w:val="single" w:sz="4" w:space="0" w:color="2C9AFF" w:themeColor="accent1" w:themeTint="99"/>
        <w:right w:val="single" w:sz="4" w:space="0" w:color="2C9AFF" w:themeColor="accent1" w:themeTint="99"/>
        <w:insideH w:val="single" w:sz="4" w:space="0" w:color="2C9AFF" w:themeColor="accent1" w:themeTint="99"/>
        <w:insideV w:val="single" w:sz="4" w:space="0" w:color="2C9AFF" w:themeColor="accent1" w:themeTint="99"/>
      </w:tblBorders>
    </w:tblPr>
    <w:tblStylePr w:type="firstRow">
      <w:rPr>
        <w:b/>
        <w:bCs/>
        <w:color w:val="FFFFFF" w:themeColor="background1"/>
      </w:rPr>
      <w:tblPr/>
      <w:tcPr>
        <w:tcBorders>
          <w:top w:val="single" w:sz="4" w:space="0" w:color="00539F" w:themeColor="accent1"/>
          <w:left w:val="single" w:sz="4" w:space="0" w:color="00539F" w:themeColor="accent1"/>
          <w:bottom w:val="single" w:sz="4" w:space="0" w:color="00539F" w:themeColor="accent1"/>
          <w:right w:val="single" w:sz="4" w:space="0" w:color="00539F" w:themeColor="accent1"/>
          <w:insideH w:val="nil"/>
          <w:insideV w:val="nil"/>
        </w:tcBorders>
        <w:shd w:val="clear" w:color="auto" w:fill="00539F" w:themeFill="accent1"/>
      </w:tcPr>
    </w:tblStylePr>
    <w:tblStylePr w:type="lastRow">
      <w:rPr>
        <w:b/>
        <w:bCs/>
      </w:rPr>
      <w:tblPr/>
      <w:tcPr>
        <w:tcBorders>
          <w:top w:val="double" w:sz="4" w:space="0" w:color="00539F" w:themeColor="accent1"/>
        </w:tcBorders>
      </w:tcPr>
    </w:tblStylePr>
    <w:tblStylePr w:type="firstCol">
      <w:rPr>
        <w:b/>
        <w:bCs/>
      </w:rPr>
    </w:tblStylePr>
    <w:tblStylePr w:type="lastCol">
      <w:rPr>
        <w:b/>
        <w:bCs/>
      </w:rPr>
    </w:tblStylePr>
    <w:tblStylePr w:type="band1Vert">
      <w:tblPr/>
      <w:tcPr>
        <w:shd w:val="clear" w:color="auto" w:fill="B8DDFF" w:themeFill="accent1" w:themeFillTint="33"/>
      </w:tcPr>
    </w:tblStylePr>
    <w:tblStylePr w:type="band1Horz">
      <w:tblPr/>
      <w:tcPr>
        <w:shd w:val="clear" w:color="auto" w:fill="B8DD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6334">
      <w:bodyDiv w:val="1"/>
      <w:marLeft w:val="0"/>
      <w:marRight w:val="0"/>
      <w:marTop w:val="0"/>
      <w:marBottom w:val="0"/>
      <w:divBdr>
        <w:top w:val="none" w:sz="0" w:space="0" w:color="auto"/>
        <w:left w:val="none" w:sz="0" w:space="0" w:color="auto"/>
        <w:bottom w:val="none" w:sz="0" w:space="0" w:color="auto"/>
        <w:right w:val="none" w:sz="0" w:space="0" w:color="auto"/>
      </w:divBdr>
      <w:divsChild>
        <w:div w:id="905916268">
          <w:marLeft w:val="720"/>
          <w:marRight w:val="0"/>
          <w:marTop w:val="144"/>
          <w:marBottom w:val="0"/>
          <w:divBdr>
            <w:top w:val="none" w:sz="0" w:space="0" w:color="auto"/>
            <w:left w:val="none" w:sz="0" w:space="0" w:color="auto"/>
            <w:bottom w:val="none" w:sz="0" w:space="0" w:color="auto"/>
            <w:right w:val="none" w:sz="0" w:space="0" w:color="auto"/>
          </w:divBdr>
        </w:div>
        <w:div w:id="2037611758">
          <w:marLeft w:val="720"/>
          <w:marRight w:val="0"/>
          <w:marTop w:val="144"/>
          <w:marBottom w:val="0"/>
          <w:divBdr>
            <w:top w:val="none" w:sz="0" w:space="0" w:color="auto"/>
            <w:left w:val="none" w:sz="0" w:space="0" w:color="auto"/>
            <w:bottom w:val="none" w:sz="0" w:space="0" w:color="auto"/>
            <w:right w:val="none" w:sz="0" w:space="0" w:color="auto"/>
          </w:divBdr>
        </w:div>
        <w:div w:id="1482311616">
          <w:marLeft w:val="720"/>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koekenbier@umcutrech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rmacotherapeutischkompas.nl/bladeren/preparaatteksten/g/gentamicine__parenteraal_"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rmacotherapeutischkompas.nl/bladeren/preparaatteksten/c/cefuroxim__systemisch_" TargetMode="External"/><Relationship Id="rId11" Type="http://schemas.openxmlformats.org/officeDocument/2006/relationships/hyperlink" Target="https://swab.nl/en/richtlijnen-swab" TargetMode="External"/><Relationship Id="rId5" Type="http://schemas.openxmlformats.org/officeDocument/2006/relationships/webSettings" Target="webSettings.xml"/><Relationship Id="rId10" Type="http://schemas.openxmlformats.org/officeDocument/2006/relationships/hyperlink" Target="https://swab.nl/en/richtlijnen-swab" TargetMode="External"/><Relationship Id="rId4" Type="http://schemas.openxmlformats.org/officeDocument/2006/relationships/settings" Target="settings.xml"/><Relationship Id="rId9" Type="http://schemas.openxmlformats.org/officeDocument/2006/relationships/hyperlink" Target="mailto:sagastudie@umcutrecht.nl" TargetMode="External"/></Relationships>
</file>

<file path=word/theme/theme1.xml><?xml version="1.0" encoding="utf-8"?>
<a:theme xmlns:a="http://schemas.openxmlformats.org/drawingml/2006/main" name="Office Theme">
  <a:themeElements>
    <a:clrScheme name="Isala standaard">
      <a:dk1>
        <a:sysClr val="windowText" lastClr="000000"/>
      </a:dk1>
      <a:lt1>
        <a:sysClr val="window" lastClr="FFFFFF"/>
      </a:lt1>
      <a:dk2>
        <a:srgbClr val="B2071B"/>
      </a:dk2>
      <a:lt2>
        <a:srgbClr val="FFD300"/>
      </a:lt2>
      <a:accent1>
        <a:srgbClr val="00539F"/>
      </a:accent1>
      <a:accent2>
        <a:srgbClr val="E32119"/>
      </a:accent2>
      <a:accent3>
        <a:srgbClr val="F7DD00"/>
      </a:accent3>
      <a:accent4>
        <a:srgbClr val="74A0CA"/>
      </a:accent4>
      <a:accent5>
        <a:srgbClr val="BCBD00"/>
      </a:accent5>
      <a:accent6>
        <a:srgbClr val="F39900"/>
      </a:accent6>
      <a:hlink>
        <a:srgbClr val="00539F"/>
      </a:hlink>
      <a:folHlink>
        <a:srgbClr val="3DB5B0"/>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A9D1-CDE7-4A19-A981-0242252D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4703</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seijne</dc:creator>
  <cp:keywords/>
  <dc:description/>
  <cp:lastModifiedBy>Persoon-2, M.C. (Marjolein)</cp:lastModifiedBy>
  <cp:revision>2</cp:revision>
  <dcterms:created xsi:type="dcterms:W3CDTF">2022-05-16T07:34:00Z</dcterms:created>
  <dcterms:modified xsi:type="dcterms:W3CDTF">2022-05-16T07:34:00Z</dcterms:modified>
</cp:coreProperties>
</file>